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24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Proxy Statement Pursuant to Section 14(a) of</w:t>
      </w:r>
    </w:p>
    <w:p>
      <w:pPr>
        <w:spacing w:after="0" w:line="27" w:lineRule="exact"/>
        <w:rPr>
          <w:sz w:val="24"/>
          <w:szCs w:val="24"/>
          <w:color w:val="auto"/>
        </w:rPr>
      </w:pPr>
    </w:p>
    <w:p>
      <w:pPr>
        <w:ind w:left="3400"/>
        <w:spacing w:after="0"/>
        <w:tabs>
          <w:tab w:leader="none" w:pos="7760" w:val="left"/>
        </w:tabs>
        <w:rPr>
          <w:sz w:val="20"/>
          <w:szCs w:val="20"/>
          <w:color w:val="auto"/>
        </w:rPr>
      </w:pPr>
      <w:r>
        <w:rPr>
          <w:rFonts w:ascii="Times New Roman" w:cs="Times New Roman" w:eastAsia="Times New Roman" w:hAnsi="Times New Roman"/>
          <w:sz w:val="18"/>
          <w:szCs w:val="18"/>
          <w:color w:val="auto"/>
        </w:rPr>
        <w:t>the Securities Exchange Act of 1934 (Amendment No.</w:t>
      </w:r>
      <w:r>
        <w:rPr>
          <w:sz w:val="20"/>
          <w:szCs w:val="20"/>
          <w:color w:val="auto"/>
        </w:rPr>
        <w:tab/>
      </w:r>
      <w:r>
        <w:rPr>
          <w:rFonts w:ascii="Times New Roman" w:cs="Times New Roman" w:eastAsia="Times New Roman" w:hAnsi="Times New Roman"/>
          <w:sz w:val="18"/>
          <w:szCs w:val="18"/>
          <w:color w:val="auto"/>
        </w:rPr>
        <w:t>)</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6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84" w:lineRule="exact"/>
        <w:rPr>
          <w:sz w:val="24"/>
          <w:szCs w:val="24"/>
          <w:color w:val="auto"/>
        </w:rPr>
      </w:pPr>
    </w:p>
    <w:p>
      <w:pPr>
        <w:spacing w:after="0" w:line="207" w:lineRule="exact"/>
        <w:tabs>
          <w:tab w:leader="none" w:pos="3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Preliminary Proxy Statement</w:t>
      </w:r>
    </w:p>
    <w:p>
      <w:pPr>
        <w:spacing w:after="0" w:line="63" w:lineRule="exact"/>
        <w:rPr>
          <w:sz w:val="24"/>
          <w:szCs w:val="24"/>
          <w:color w:val="auto"/>
        </w:rPr>
      </w:pPr>
    </w:p>
    <w:p>
      <w:pPr>
        <w:spacing w:after="0" w:line="207" w:lineRule="exact"/>
        <w:tabs>
          <w:tab w:leader="none" w:pos="3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b w:val="1"/>
          <w:bCs w:val="1"/>
          <w:color w:val="auto"/>
        </w:rPr>
        <w:t>Confidential, for Use of the Commission Only (as permitted by Rule 14a-6(e)(2))</w:t>
      </w:r>
    </w:p>
    <w:p>
      <w:pPr>
        <w:spacing w:after="0" w:line="16" w:lineRule="exact"/>
        <w:rPr>
          <w:sz w:val="24"/>
          <w:szCs w:val="24"/>
          <w:color w:val="auto"/>
        </w:rPr>
      </w:pPr>
    </w:p>
    <w:p>
      <w:pPr>
        <w:spacing w:after="0" w:line="207" w:lineRule="exact"/>
        <w:tabs>
          <w:tab w:leader="none" w:pos="3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Definitive Proxy Statement</w:t>
      </w:r>
    </w:p>
    <w:p>
      <w:pPr>
        <w:spacing w:after="0" w:line="2" w:lineRule="exact"/>
        <w:rPr>
          <w:sz w:val="24"/>
          <w:szCs w:val="24"/>
          <w:color w:val="auto"/>
        </w:rPr>
      </w:pPr>
    </w:p>
    <w:p>
      <w:pPr>
        <w:spacing w:after="0" w:line="207" w:lineRule="exact"/>
        <w:tabs>
          <w:tab w:leader="none" w:pos="3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Definitive Additional Materials</w:t>
      </w:r>
    </w:p>
    <w:p>
      <w:pPr>
        <w:spacing w:after="0" w:line="9" w:lineRule="exact"/>
        <w:rPr>
          <w:sz w:val="24"/>
          <w:szCs w:val="24"/>
          <w:color w:val="auto"/>
        </w:rPr>
      </w:pPr>
    </w:p>
    <w:p>
      <w:pPr>
        <w:spacing w:after="0" w:line="207" w:lineRule="exact"/>
        <w:tabs>
          <w:tab w:leader="none" w:pos="3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Soliciting Material under §240.14a-12</w:t>
      </w:r>
    </w:p>
    <w:p>
      <w:pPr>
        <w:spacing w:after="0" w:line="18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SuRo Capital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0" w:lineRule="exact"/>
        <w:rPr>
          <w:sz w:val="24"/>
          <w:szCs w:val="24"/>
          <w:color w:val="auto"/>
        </w:rPr>
      </w:pPr>
    </w:p>
    <w:p>
      <w:pPr>
        <w:spacing w:after="0" w:line="235"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527685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808"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640 Fifth Avenue, 12th Floor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April 11,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are cordially invited to attend the 2025 Annual Meeting of Stockholders (the “Annual Meeting”) of SuRo Capital Corp. (the “Company”) to be held on May 28, 2025 at 9:00 a.m., Eastern Time, at the office of Eversheds Sutherland (US) LLP, The Grace Building, 1114 Sixth Avenue, 40th Floor, New York, New York 10036.</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notice of annual meeting and the proxy statement (the “Proxy Statement”) accompanying this letter provide an outline of the business to be conducted at the Annual Meeting. At the Annual Meeting, you will be asked to: (i) re-elect two members of the board of directors of the Company (the “Board”), each of whom will serve for a term of three years and until their respective successors are duly elected and qualified; (ii) provide an advisory vote on executive compensation; (iii) recommend, in a non-binding vote, the frequency of an advisory vote to approve the compensation of the Company’s named executive officers, (iv) approve an amendment and restatement of the SuRo Capital Corp. Amended and Restated 2019 Equity Incentive Plan;</w:t>
      </w:r>
    </w:p>
    <w:p>
      <w:pPr>
        <w:spacing w:after="0" w:line="3" w:lineRule="exact"/>
        <w:rPr>
          <w:sz w:val="20"/>
          <w:szCs w:val="20"/>
          <w:color w:val="auto"/>
        </w:rPr>
      </w:pPr>
    </w:p>
    <w:p>
      <w:pPr>
        <w:jc w:val="both"/>
        <w:ind w:firstLine="8"/>
        <w:spacing w:after="0" w:line="277" w:lineRule="auto"/>
        <w:tabs>
          <w:tab w:leader="none" w:pos="25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ratify the selection of CBIZ CPAs P.C. to serve as the Company’s independent registered public accounting firm for the fiscal year ending December 31, 2025; and (vi) transact such other business as may properly come before the Annual Meeting or any postponement or adjournment thereof. Details of the business to be conducted at the Annual Meeting are set forth in the accompanying Notice of 2025 Annual Meeting of Stockholders and Proxy Statement.</w:t>
      </w:r>
    </w:p>
    <w:p>
      <w:pPr>
        <w:spacing w:after="0" w:line="16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The Company’s Board unanimously recommends that you vote “1 YEAR” for the frequency of the advisory vote to approve the compensation of the Company’s named executive officers and “FOR” each of the other proposals to be considered and voted on at the Annual Meeting.</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has elected to provide access to its proxy materials to certain of its stockholders over the internet under the U.S. Securities and Exchange Commission’s “notice and access” rules. On or about April 11, 2025, the Company intends to mail to most of its stockholders a Notice of Internet Availability of Proxy Materials containing instructions on how to access the Proxy Statement and the annual report on Form 10-K for the year ended December 31, 2024 (the “Annual Report”), and how to submit proxies by telephone or through the internet. All other stockholders will receive a copy of the Proxy Statement and the Annual Report by mail. The Notice of Internet Availability of Proxy Materials also contains instructions on how you can elect to receive a printed copy of the Proxy Statement and the Annual Report. The Company believes that providing its proxy materials over the internet will expedite stockholders’ receipt of proxy materials, lower the costs associated with the Annual Meeting and conserve resources.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It is important that your shares of the Company’s common stock be represented at the Annual Meeting. If you are unable to attend the Annual Meeting in person, I urge you to complete, date and sign the enclosed proxy card and promptly return it in the envelope provided, vote your shares by telephone, or vote via the internet in accordance with the instructions printed on the Notice of Internet Availability of Proxy Materials or the proxy card. You will be able to vote electronically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xml:space="preserve"> or by calling 1-800-690-6903. Your vote and participation in the governance of the Company are very important.</w:t>
      </w:r>
    </w:p>
    <w:p>
      <w:pPr>
        <w:spacing w:after="0" w:line="18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Sincerely yours,</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Mark D.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Mark D. Klein</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Chairman, Chief Executive Officer and President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640 Fifth Avenue, 12th Floor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(212) 931-6331</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MAY 28,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of SuRo Capital Corp.:</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NOTICE IS HEREBY GIVEN THAT the 2025 Annual Meeting of Stockholders (the “Annual Meeting”) of SuRo Capital Corp. (the “Company”) will be held on May 28, 2025 at 9:00 a.m., Eastern Time, at the office of Eversheds Sutherland (US) LLP, The Grace Building, 1114 Sixth Avenue, 40th Floor, New York, New York 10036.</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Annual Meeting will be held for the following purposes:</w:t>
      </w:r>
    </w:p>
    <w:p>
      <w:pPr>
        <w:spacing w:after="0" w:line="225" w:lineRule="exact"/>
        <w:rPr>
          <w:sz w:val="20"/>
          <w:szCs w:val="20"/>
          <w:color w:val="auto"/>
        </w:rPr>
      </w:pPr>
    </w:p>
    <w:p>
      <w:pPr>
        <w:ind w:left="98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re-elect two members of the board of directors of the Company (the “Board”), each of whom will serve for a term of three years and until their successors are duly elected and qualified;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an advisory vote on executive compensation;</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recommend, in a non-binding vote, the frequency of an advisory vote to approve the compensation of the Company’s named executive officers;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amendment and restatement of the SuRo Capital Corp. Amended and Restated 2019 Equity Incentive Plan;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of CBIZ CPAs P.C. to serve as the Company’s independent registered public accounting firm for the fiscal year ending</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December 31, 2025; and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To transact such other business as may properly come before the Annual Meeting or any postponement or adjournment thereof.</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You have the right to receive notice of and to vote at the Annual Meeting if you were a stockholder of record at the close of business on April 1, 2025 (the “Record Date”). Regardless of whether you expect to be present in person at the Annual Meeting, please sign the enclosed proxy and return it promptly in the self-addressed envelope provided, or register your vote by telephone or through the internet. You must have your control number, found on your proxy card or Notice of Internet Availability of Proxy Materials, in order to vote. Prior to the Annual Meeting, you may vote your shares electronically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xml:space="preserve"> or by calling 1-800-690-6903. Instructions are shown on the proxy card and the Notice of Internet Availability of Proxy Materials. In the event there are not sufficient votes for a quorum or to approve or ratify any of the foregoing proposals at the time of the Annual Meeting, the Annual Meeting may be adjourned in order to permit further solicitation of proxies by the Company.</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Important Notice Regarding the Availability of Proxy Materials for the Annual Meeting of Stockholders to Be Held on May 28, 2025.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proxy statement (the “Proxy Statement”) and our annual report on Form 10-K for the fiscal year ended December 31, 2024 (the “Annual Report”) are available on the internet at </w:t>
      </w:r>
      <w:r>
        <w:rPr>
          <w:rFonts w:ascii="Times New Roman" w:cs="Times New Roman" w:eastAsia="Times New Roman" w:hAnsi="Times New Roman"/>
          <w:sz w:val="18"/>
          <w:szCs w:val="18"/>
          <w:i w:val="1"/>
          <w:iCs w:val="1"/>
          <w:color w:val="auto"/>
        </w:rPr>
        <w:t>https://investors.surocap.com/financial-information/sec-filings.</w:t>
      </w:r>
      <w:r>
        <w:rPr>
          <w:rFonts w:ascii="Times New Roman" w:cs="Times New Roman" w:eastAsia="Times New Roman" w:hAnsi="Times New Roman"/>
          <w:sz w:val="18"/>
          <w:szCs w:val="18"/>
          <w:color w:val="auto"/>
        </w:rPr>
        <w:t xml:space="preserve"> The Notice of Internet Availability of Proxy Materials contains instructions on how you can elect to receive a printed copy of the Proxy Statement and the Annual Report free of charge.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information applicable to the Annual Meeting may be found in the Proxy Statement and/or accompanying proxy card:</w:t>
      </w:r>
    </w:p>
    <w:p>
      <w:pPr>
        <w:spacing w:after="0" w:line="225"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time and location of the meeting;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list of the matters intended to be acted on and our recommendations regarding those matters;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 w:name="page4"/>
    <w:bookmarkEnd w:id="3"/>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control/identification numbers that you need to access your proxy card;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about attending the meeting and voting in person.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you are unable to participate in the meeting, we urge you to follow the instructions printed on the Notice of Internet Availability of Proxy Materials or the proxy card to authorize a proxy vote by telephone or through the internet, or complete, date and sign the enclosed proxy card and promptly return it in the envelope provided.</w:t>
      </w:r>
    </w:p>
    <w:p>
      <w:pPr>
        <w:spacing w:after="0" w:line="17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Allison Green</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11, 2025</w:t>
      </w:r>
    </w:p>
    <w:p>
      <w:pPr>
        <w:spacing w:after="0" w:line="20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This is an important meeting. To ensure proper representation at the Annual Meeting, stockholders are requested to promptly authorize a proxy vote by telephone or through the internet, or execute and return promptly the accompanying proxy card, which is being solicited by the Board. You may authorize a proxy by telephone or through the internet by following the instructions in the Notice of Internet Availability of Proxy Materials or the proxy card. You may execute the proxy card using the methods described in the proxy card. Executing the proxy card is important to ensure a quorum at the Annual Meeting. Proxies may be revoked at any time before they are exercised by submitting a written notice of revocation or a subsequently executed proxy, or by participating in the Annual Meeting and voting.</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0" w:type="dxa"/>
            <w:vAlign w:val="bottom"/>
            <w:gridSpan w:val="34"/>
          </w:tcPr>
          <w:p>
            <w:pPr>
              <w:jc w:val="center"/>
              <w:ind w:right="1760"/>
              <w:spacing w:after="0"/>
              <w:rPr>
                <w:sz w:val="20"/>
                <w:szCs w:val="20"/>
                <w:color w:val="auto"/>
              </w:rPr>
            </w:pPr>
            <w:r>
              <w:rPr>
                <w:rFonts w:ascii="Times New Roman" w:cs="Times New Roman" w:eastAsia="Times New Roman" w:hAnsi="Times New Roman"/>
                <w:sz w:val="18"/>
                <w:szCs w:val="18"/>
                <w:b w:val="1"/>
                <w:bCs w:val="1"/>
                <w:color w:val="auto"/>
                <w:w w:val="99"/>
              </w:rPr>
              <w:t>PROXY STATEMENT FOR 2025 ANNUAL MEETING OF STOCKHOLDERS</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391"/>
        </w:trPr>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120" w:type="dxa"/>
            <w:vAlign w:val="bottom"/>
            <w:gridSpan w:val="11"/>
          </w:tcPr>
          <w:p>
            <w:pPr>
              <w:jc w:val="center"/>
              <w:ind w:right="38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53"/>
        </w:trPr>
        <w:tc>
          <w:tcPr>
            <w:tcW w:w="16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CCEEFF"/>
            </w:tcBorders>
          </w:tcPr>
          <w:p>
            <w:pPr>
              <w:spacing w:after="0"/>
              <w:rPr>
                <w:sz w:val="24"/>
                <w:szCs w:val="24"/>
                <w:color w:val="auto"/>
              </w:rPr>
            </w:pPr>
          </w:p>
        </w:tc>
        <w:tc>
          <w:tcPr>
            <w:tcW w:w="180" w:type="dxa"/>
            <w:vAlign w:val="bottom"/>
            <w:tcBorders>
              <w:top w:val="single" w:sz="8" w:color="auto"/>
              <w:bottom w:val="single" w:sz="8" w:color="CCEEFF"/>
            </w:tcBorders>
          </w:tcPr>
          <w:p>
            <w:pPr>
              <w:spacing w:after="0"/>
              <w:rPr>
                <w:sz w:val="24"/>
                <w:szCs w:val="24"/>
                <w:color w:val="auto"/>
              </w:rPr>
            </w:pPr>
          </w:p>
        </w:tc>
        <w:tc>
          <w:tcPr>
            <w:tcW w:w="180" w:type="dxa"/>
            <w:vAlign w:val="bottom"/>
            <w:tcBorders>
              <w:top w:val="single" w:sz="8" w:color="auto"/>
              <w:bottom w:val="single" w:sz="8" w:color="CCEEFF"/>
            </w:tcBorders>
          </w:tcPr>
          <w:p>
            <w:pPr>
              <w:spacing w:after="0"/>
              <w:rPr>
                <w:sz w:val="24"/>
                <w:szCs w:val="24"/>
                <w:color w:val="auto"/>
              </w:rPr>
            </w:pPr>
          </w:p>
        </w:tc>
        <w:tc>
          <w:tcPr>
            <w:tcW w:w="180" w:type="dxa"/>
            <w:vAlign w:val="bottom"/>
            <w:tcBorders>
              <w:top w:val="single" w:sz="8" w:color="auto"/>
              <w:bottom w:val="single" w:sz="8" w:color="CCEEFF"/>
            </w:tcBorders>
          </w:tcPr>
          <w:p>
            <w:pPr>
              <w:spacing w:after="0"/>
              <w:rPr>
                <w:sz w:val="24"/>
                <w:szCs w:val="24"/>
                <w:color w:val="auto"/>
              </w:rPr>
            </w:pPr>
          </w:p>
        </w:tc>
        <w:tc>
          <w:tcPr>
            <w:tcW w:w="60" w:type="dxa"/>
            <w:vAlign w:val="bottom"/>
            <w:tcBorders>
              <w:top w:val="single" w:sz="8" w:color="auto"/>
              <w:bottom w:val="single" w:sz="8" w:color="CCEEFF"/>
            </w:tcBorders>
          </w:tcPr>
          <w:p>
            <w:pPr>
              <w:spacing w:after="0"/>
              <w:rPr>
                <w:sz w:val="24"/>
                <w:szCs w:val="24"/>
                <w:color w:val="auto"/>
              </w:rPr>
            </w:pPr>
          </w:p>
        </w:tc>
        <w:tc>
          <w:tcPr>
            <w:tcW w:w="180" w:type="dxa"/>
            <w:vAlign w:val="bottom"/>
            <w:tcBorders>
              <w:top w:val="single" w:sz="8" w:color="auto"/>
              <w:bottom w:val="single" w:sz="8" w:color="CCEEFF"/>
            </w:tcBorders>
          </w:tcPr>
          <w:p>
            <w:pPr>
              <w:spacing w:after="0"/>
              <w:rPr>
                <w:sz w:val="24"/>
                <w:szCs w:val="24"/>
                <w:color w:val="auto"/>
              </w:rPr>
            </w:pPr>
          </w:p>
        </w:tc>
        <w:tc>
          <w:tcPr>
            <w:tcW w:w="920" w:type="dxa"/>
            <w:vAlign w:val="bottom"/>
            <w:tcBorders>
              <w:top w:val="single" w:sz="8" w:color="auto"/>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940" w:type="dxa"/>
            <w:vAlign w:val="bottom"/>
            <w:tcBorders>
              <w:bottom w:val="single" w:sz="8" w:color="CCEEFF"/>
            </w:tcBorders>
          </w:tcPr>
          <w:p>
            <w:pPr>
              <w:spacing w:after="0"/>
              <w:rPr>
                <w:sz w:val="24"/>
                <w:szCs w:val="24"/>
                <w:color w:val="auto"/>
              </w:rPr>
            </w:pPr>
          </w:p>
        </w:tc>
        <w:tc>
          <w:tcPr>
            <w:tcW w:w="182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00"/>
        </w:trPr>
        <w:tc>
          <w:tcPr>
            <w:tcW w:w="6840" w:type="dxa"/>
            <w:vAlign w:val="bottom"/>
            <w:tcBorders>
              <w:bottom w:val="single" w:sz="8" w:color="0000EE"/>
            </w:tcBorders>
            <w:gridSpan w:val="48"/>
            <w:shd w:val="clear" w:color="auto" w:fill="CCEEFF"/>
          </w:tcPr>
          <w:p>
            <w:pPr>
              <w:spacing w:after="0" w:line="136" w:lineRule="exact"/>
              <w:rPr>
                <w:sz w:val="20"/>
                <w:szCs w:val="20"/>
                <w:color w:val="auto"/>
              </w:rPr>
            </w:pPr>
            <w:r>
              <w:rPr>
                <w:rFonts w:ascii="Times New Roman" w:cs="Times New Roman" w:eastAsia="Times New Roman" w:hAnsi="Times New Roman"/>
                <w:sz w:val="15"/>
                <w:szCs w:val="15"/>
                <w:color w:val="0000EE"/>
              </w:rPr>
              <w:t>NOTICE OF ANNUAL MEETING OF STOCKHOLDERS TO BE HELD ON MAY 28, 2025</w:t>
            </w:r>
          </w:p>
        </w:tc>
        <w:tc>
          <w:tcPr>
            <w:tcW w:w="194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gridSpan w:val="5"/>
            <w:shd w:val="clear" w:color="auto" w:fill="CCEEFF"/>
          </w:tcPr>
          <w:p>
            <w:pPr>
              <w:jc w:val="center"/>
              <w:ind w:right="240"/>
              <w:spacing w:after="0" w:line="156" w:lineRule="exact"/>
              <w:rPr>
                <w:sz w:val="20"/>
                <w:szCs w:val="20"/>
                <w:color w:val="auto"/>
              </w:rPr>
            </w:pPr>
            <w:r>
              <w:rPr>
                <w:rFonts w:ascii="Times New Roman" w:cs="Times New Roman" w:eastAsia="Times New Roman" w:hAnsi="Times New Roman"/>
                <w:sz w:val="18"/>
                <w:szCs w:val="18"/>
                <w:color w:val="0000EE"/>
                <w:w w:val="99"/>
              </w:rPr>
              <w:t>ii</w:t>
            </w:r>
          </w:p>
        </w:tc>
      </w:tr>
      <w:tr>
        <w:trPr>
          <w:trHeight w:val="170"/>
        </w:trPr>
        <w:tc>
          <w:tcPr>
            <w:tcW w:w="10600" w:type="dxa"/>
            <w:vAlign w:val="bottom"/>
            <w:tcBorders>
              <w:top w:val="single" w:sz="8" w:color="CCEEFF"/>
            </w:tcBorders>
            <w:gridSpan w:val="50"/>
          </w:tcPr>
          <w:p>
            <w:pPr>
              <w:spacing w:after="0" w:line="170" w:lineRule="exact"/>
              <w:rPr>
                <w:sz w:val="20"/>
                <w:szCs w:val="20"/>
                <w:color w:val="auto"/>
              </w:rPr>
            </w:pPr>
            <w:r>
              <w:rPr>
                <w:rFonts w:ascii="Times New Roman" w:cs="Times New Roman" w:eastAsia="Times New Roman" w:hAnsi="Times New Roman"/>
                <w:sz w:val="18"/>
                <w:szCs w:val="18"/>
                <w:color w:val="0000EE"/>
              </w:rPr>
              <w:t>PROXY STATEMENT</w:t>
            </w:r>
          </w:p>
        </w:tc>
        <w:tc>
          <w:tcPr>
            <w:tcW w:w="260" w:type="dxa"/>
            <w:vAlign w:val="bottom"/>
            <w:tcBorders>
              <w:top w:val="single" w:sz="8" w:color="CCEEFF"/>
            </w:tcBorders>
            <w:gridSpan w:val="2"/>
          </w:tcPr>
          <w:p>
            <w:pPr>
              <w:spacing w:after="0"/>
              <w:rPr>
                <w:sz w:val="14"/>
                <w:szCs w:val="14"/>
                <w:color w:val="auto"/>
              </w:rPr>
            </w:pPr>
          </w:p>
        </w:tc>
        <w:tc>
          <w:tcPr>
            <w:tcW w:w="100" w:type="dxa"/>
            <w:vAlign w:val="bottom"/>
            <w:tcBorders>
              <w:top w:val="single" w:sz="8" w:color="0000EE"/>
            </w:tcBorders>
            <w:gridSpan w:val="2"/>
          </w:tcPr>
          <w:p>
            <w:pPr>
              <w:jc w:val="center"/>
              <w:spacing w:after="0" w:line="170" w:lineRule="exact"/>
              <w:rPr>
                <w:sz w:val="20"/>
                <w:szCs w:val="20"/>
                <w:color w:val="auto"/>
              </w:rPr>
            </w:pPr>
            <w:r>
              <w:rPr>
                <w:rFonts w:ascii="Times New Roman" w:cs="Times New Roman" w:eastAsia="Times New Roman" w:hAnsi="Times New Roman"/>
                <w:sz w:val="18"/>
                <w:szCs w:val="18"/>
                <w:color w:val="0000EE"/>
                <w:w w:val="88"/>
              </w:rPr>
              <w:t>1</w:t>
            </w:r>
          </w:p>
        </w:tc>
        <w:tc>
          <w:tcPr>
            <w:tcW w:w="4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r>
      <w:tr>
        <w:trPr>
          <w:trHeight w:val="21"/>
        </w:trPr>
        <w:tc>
          <w:tcPr>
            <w:tcW w:w="1700" w:type="dxa"/>
            <w:vAlign w:val="bottom"/>
            <w:tcBorders>
              <w:top w:val="single" w:sz="8" w:color="0000EE"/>
            </w:tcBorders>
            <w:gridSpan w:val="8"/>
          </w:tcPr>
          <w:p>
            <w:pPr>
              <w:spacing w:after="0" w:line="20" w:lineRule="exact"/>
              <w:rPr>
                <w:sz w:val="1"/>
                <w:szCs w:val="1"/>
                <w:color w:val="auto"/>
              </w:rPr>
            </w:pPr>
          </w:p>
        </w:tc>
        <w:tc>
          <w:tcPr>
            <w:tcW w:w="9180" w:type="dxa"/>
            <w:vAlign w:val="bottom"/>
            <w:gridSpan w:val="45"/>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176"/>
        </w:trPr>
        <w:tc>
          <w:tcPr>
            <w:tcW w:w="160" w:type="dxa"/>
            <w:vAlign w:val="bottom"/>
            <w:shd w:val="clear" w:color="auto" w:fill="CCEEFF"/>
          </w:tcPr>
          <w:p>
            <w:pPr>
              <w:spacing w:after="0"/>
              <w:rPr>
                <w:sz w:val="15"/>
                <w:szCs w:val="15"/>
                <w:color w:val="auto"/>
              </w:rPr>
            </w:pPr>
          </w:p>
        </w:tc>
        <w:tc>
          <w:tcPr>
            <w:tcW w:w="10440" w:type="dxa"/>
            <w:vAlign w:val="bottom"/>
            <w:gridSpan w:val="4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Purpose of Meeting</w:t>
            </w:r>
          </w:p>
        </w:tc>
        <w:tc>
          <w:tcPr>
            <w:tcW w:w="360" w:type="dxa"/>
            <w:vAlign w:val="bottom"/>
            <w:gridSpan w:val="4"/>
            <w:shd w:val="clear" w:color="auto" w:fill="CCEEFF"/>
          </w:tcPr>
          <w:p>
            <w:pPr>
              <w:jc w:val="center"/>
              <w:ind w:left="190"/>
              <w:spacing w:after="0" w:line="176" w:lineRule="exact"/>
              <w:rPr>
                <w:sz w:val="20"/>
                <w:szCs w:val="20"/>
                <w:color w:val="auto"/>
              </w:rPr>
            </w:pPr>
            <w:r>
              <w:rPr>
                <w:rFonts w:ascii="Times New Roman" w:cs="Times New Roman" w:eastAsia="Times New Roman" w:hAnsi="Times New Roman"/>
                <w:sz w:val="18"/>
                <w:szCs w:val="18"/>
                <w:color w:val="0000EE"/>
                <w:w w:val="88"/>
              </w:rPr>
              <w:t>2</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r>
      <w:tr>
        <w:trPr>
          <w:trHeight w:val="20"/>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0000EE"/>
            </w:tcBorders>
            <w:gridSpan w:val="6"/>
            <w:shd w:val="clear" w:color="auto" w:fill="CCEEFF"/>
          </w:tcPr>
          <w:p>
            <w:pPr>
              <w:spacing w:after="0" w:line="20" w:lineRule="exact"/>
              <w:rPr>
                <w:sz w:val="1"/>
                <w:szCs w:val="1"/>
                <w:color w:val="auto"/>
              </w:rPr>
            </w:pPr>
          </w:p>
        </w:tc>
        <w:tc>
          <w:tcPr>
            <w:tcW w:w="9300" w:type="dxa"/>
            <w:vAlign w:val="bottom"/>
            <w:tcBorders>
              <w:top w:val="single" w:sz="8" w:color="CCEEFF"/>
            </w:tcBorders>
            <w:gridSpan w:val="46"/>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6"/>
        </w:trPr>
        <w:tc>
          <w:tcPr>
            <w:tcW w:w="160" w:type="dxa"/>
            <w:vAlign w:val="bottom"/>
          </w:tcPr>
          <w:p>
            <w:pPr>
              <w:spacing w:after="0"/>
              <w:rPr>
                <w:sz w:val="15"/>
                <w:szCs w:val="15"/>
                <w:color w:val="auto"/>
              </w:rPr>
            </w:pPr>
          </w:p>
        </w:tc>
        <w:tc>
          <w:tcPr>
            <w:tcW w:w="1420" w:type="dxa"/>
            <w:vAlign w:val="bottom"/>
            <w:gridSpan w:val="6"/>
          </w:tcPr>
          <w:p>
            <w:pPr>
              <w:ind w:left="20"/>
              <w:spacing w:after="0" w:line="176" w:lineRule="exact"/>
              <w:rPr>
                <w:sz w:val="20"/>
                <w:szCs w:val="20"/>
                <w:color w:val="auto"/>
              </w:rPr>
            </w:pPr>
            <w:r>
              <w:rPr>
                <w:rFonts w:ascii="Times New Roman" w:cs="Times New Roman" w:eastAsia="Times New Roman" w:hAnsi="Times New Roman"/>
                <w:sz w:val="18"/>
                <w:szCs w:val="18"/>
                <w:color w:val="0000EE"/>
              </w:rPr>
              <w:t>Record Date</w:t>
            </w:r>
          </w:p>
        </w:tc>
        <w:tc>
          <w:tcPr>
            <w:tcW w:w="9020" w:type="dxa"/>
            <w:vAlign w:val="bottom"/>
            <w:gridSpan w:val="43"/>
          </w:tcPr>
          <w:p>
            <w:pPr>
              <w:spacing w:after="0"/>
              <w:rPr>
                <w:sz w:val="15"/>
                <w:szCs w:val="15"/>
                <w:color w:val="auto"/>
              </w:rPr>
            </w:pPr>
          </w:p>
        </w:tc>
        <w:tc>
          <w:tcPr>
            <w:tcW w:w="360" w:type="dxa"/>
            <w:vAlign w:val="bottom"/>
            <w:gridSpan w:val="4"/>
          </w:tcPr>
          <w:p>
            <w:pPr>
              <w:jc w:val="center"/>
              <w:ind w:left="190"/>
              <w:spacing w:after="0" w:line="176" w:lineRule="exact"/>
              <w:rPr>
                <w:sz w:val="20"/>
                <w:szCs w:val="20"/>
                <w:color w:val="auto"/>
              </w:rPr>
            </w:pPr>
            <w:r>
              <w:rPr>
                <w:rFonts w:ascii="Times New Roman" w:cs="Times New Roman" w:eastAsia="Times New Roman" w:hAnsi="Times New Roman"/>
                <w:sz w:val="18"/>
                <w:szCs w:val="18"/>
                <w:color w:val="0000EE"/>
                <w:w w:val="88"/>
              </w:rPr>
              <w:t>2</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0"/>
        </w:trPr>
        <w:tc>
          <w:tcPr>
            <w:tcW w:w="160" w:type="dxa"/>
            <w:vAlign w:val="bottom"/>
          </w:tcPr>
          <w:p>
            <w:pPr>
              <w:spacing w:after="0" w:line="20" w:lineRule="exact"/>
              <w:rPr>
                <w:sz w:val="1"/>
                <w:szCs w:val="1"/>
                <w:color w:val="auto"/>
              </w:rPr>
            </w:pPr>
          </w:p>
        </w:tc>
        <w:tc>
          <w:tcPr>
            <w:tcW w:w="920" w:type="dxa"/>
            <w:vAlign w:val="bottom"/>
            <w:tcBorders>
              <w:top w:val="single" w:sz="8" w:color="0000EE"/>
            </w:tcBorders>
            <w:gridSpan w:val="2"/>
          </w:tcPr>
          <w:p>
            <w:pPr>
              <w:spacing w:after="0" w:line="20" w:lineRule="exact"/>
              <w:rPr>
                <w:sz w:val="1"/>
                <w:szCs w:val="1"/>
                <w:color w:val="auto"/>
              </w:rPr>
            </w:pPr>
          </w:p>
        </w:tc>
        <w:tc>
          <w:tcPr>
            <w:tcW w:w="9800" w:type="dxa"/>
            <w:vAlign w:val="bottom"/>
            <w:gridSpan w:val="50"/>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176"/>
        </w:trPr>
        <w:tc>
          <w:tcPr>
            <w:tcW w:w="160" w:type="dxa"/>
            <w:vAlign w:val="bottom"/>
            <w:shd w:val="clear" w:color="auto" w:fill="CCEEFF"/>
          </w:tcPr>
          <w:p>
            <w:pPr>
              <w:spacing w:after="0"/>
              <w:rPr>
                <w:sz w:val="15"/>
                <w:szCs w:val="15"/>
                <w:color w:val="auto"/>
              </w:rPr>
            </w:pPr>
          </w:p>
        </w:tc>
        <w:tc>
          <w:tcPr>
            <w:tcW w:w="1320" w:type="dxa"/>
            <w:vAlign w:val="bottom"/>
            <w:gridSpan w:val="4"/>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8"/>
              </w:rPr>
              <w:t>Quorum Required</w:t>
            </w:r>
          </w:p>
        </w:tc>
        <w:tc>
          <w:tcPr>
            <w:tcW w:w="9120" w:type="dxa"/>
            <w:vAlign w:val="bottom"/>
            <w:gridSpan w:val="45"/>
            <w:shd w:val="clear" w:color="auto" w:fill="CCEEFF"/>
          </w:tcPr>
          <w:p>
            <w:pPr>
              <w:spacing w:after="0"/>
              <w:rPr>
                <w:sz w:val="15"/>
                <w:szCs w:val="15"/>
                <w:color w:val="auto"/>
              </w:rPr>
            </w:pPr>
          </w:p>
        </w:tc>
        <w:tc>
          <w:tcPr>
            <w:tcW w:w="360" w:type="dxa"/>
            <w:vAlign w:val="bottom"/>
            <w:gridSpan w:val="4"/>
            <w:shd w:val="clear" w:color="auto" w:fill="CCEEFF"/>
          </w:tcPr>
          <w:p>
            <w:pPr>
              <w:jc w:val="center"/>
              <w:ind w:left="190"/>
              <w:spacing w:after="0" w:line="176" w:lineRule="exact"/>
              <w:rPr>
                <w:sz w:val="20"/>
                <w:szCs w:val="20"/>
                <w:color w:val="auto"/>
              </w:rPr>
            </w:pPr>
            <w:r>
              <w:rPr>
                <w:rFonts w:ascii="Times New Roman" w:cs="Times New Roman" w:eastAsia="Times New Roman" w:hAnsi="Times New Roman"/>
                <w:sz w:val="18"/>
                <w:szCs w:val="18"/>
                <w:color w:val="0000EE"/>
                <w:w w:val="88"/>
              </w:rPr>
              <w:t>2</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r>
      <w:tr>
        <w:trPr>
          <w:trHeight w:val="21"/>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0000EE"/>
            </w:tcBorders>
            <w:gridSpan w:val="4"/>
            <w:shd w:val="clear" w:color="auto" w:fill="CCEEFF"/>
          </w:tcPr>
          <w:p>
            <w:pPr>
              <w:spacing w:after="0" w:line="20" w:lineRule="exact"/>
              <w:rPr>
                <w:sz w:val="1"/>
                <w:szCs w:val="1"/>
                <w:color w:val="auto"/>
              </w:rPr>
            </w:pPr>
          </w:p>
        </w:tc>
        <w:tc>
          <w:tcPr>
            <w:tcW w:w="9400" w:type="dxa"/>
            <w:vAlign w:val="bottom"/>
            <w:tcBorders>
              <w:top w:val="single" w:sz="8" w:color="CCEEFF"/>
            </w:tcBorders>
            <w:gridSpan w:val="48"/>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5"/>
        </w:trPr>
        <w:tc>
          <w:tcPr>
            <w:tcW w:w="160" w:type="dxa"/>
            <w:vAlign w:val="bottom"/>
          </w:tcPr>
          <w:p>
            <w:pPr>
              <w:spacing w:after="0"/>
              <w:rPr>
                <w:sz w:val="15"/>
                <w:szCs w:val="15"/>
                <w:color w:val="auto"/>
              </w:rPr>
            </w:pPr>
          </w:p>
        </w:tc>
        <w:tc>
          <w:tcPr>
            <w:tcW w:w="10440" w:type="dxa"/>
            <w:vAlign w:val="bottom"/>
            <w:gridSpan w:val="49"/>
          </w:tcPr>
          <w:p>
            <w:pPr>
              <w:ind w:left="20"/>
              <w:spacing w:after="0" w:line="176" w:lineRule="exact"/>
              <w:rPr>
                <w:sz w:val="20"/>
                <w:szCs w:val="20"/>
                <w:color w:val="auto"/>
              </w:rPr>
            </w:pPr>
            <w:r>
              <w:rPr>
                <w:rFonts w:ascii="Times New Roman" w:cs="Times New Roman" w:eastAsia="Times New Roman" w:hAnsi="Times New Roman"/>
                <w:sz w:val="18"/>
                <w:szCs w:val="18"/>
                <w:color w:val="0000EE"/>
              </w:rPr>
              <w:t>Broker Non-Votes</w:t>
            </w:r>
          </w:p>
        </w:tc>
        <w:tc>
          <w:tcPr>
            <w:tcW w:w="360" w:type="dxa"/>
            <w:vAlign w:val="bottom"/>
            <w:gridSpan w:val="4"/>
          </w:tcPr>
          <w:p>
            <w:pPr>
              <w:jc w:val="center"/>
              <w:ind w:left="190"/>
              <w:spacing w:after="0" w:line="176" w:lineRule="exact"/>
              <w:rPr>
                <w:sz w:val="20"/>
                <w:szCs w:val="20"/>
                <w:color w:val="auto"/>
              </w:rPr>
            </w:pPr>
            <w:r>
              <w:rPr>
                <w:rFonts w:ascii="Times New Roman" w:cs="Times New Roman" w:eastAsia="Times New Roman" w:hAnsi="Times New Roman"/>
                <w:sz w:val="18"/>
                <w:szCs w:val="18"/>
                <w:color w:val="0000EE"/>
                <w:w w:val="88"/>
              </w:rPr>
              <w:t>2</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1"/>
        </w:trPr>
        <w:tc>
          <w:tcPr>
            <w:tcW w:w="160" w:type="dxa"/>
            <w:vAlign w:val="bottom"/>
          </w:tcPr>
          <w:p>
            <w:pPr>
              <w:spacing w:after="0" w:line="20" w:lineRule="exact"/>
              <w:rPr>
                <w:sz w:val="1"/>
                <w:szCs w:val="1"/>
                <w:color w:val="auto"/>
              </w:rPr>
            </w:pPr>
          </w:p>
        </w:tc>
        <w:tc>
          <w:tcPr>
            <w:tcW w:w="1320" w:type="dxa"/>
            <w:vAlign w:val="bottom"/>
            <w:tcBorders>
              <w:top w:val="single" w:sz="8" w:color="0000EE"/>
            </w:tcBorders>
            <w:gridSpan w:val="4"/>
          </w:tcPr>
          <w:p>
            <w:pPr>
              <w:spacing w:after="0" w:line="20" w:lineRule="exact"/>
              <w:rPr>
                <w:sz w:val="1"/>
                <w:szCs w:val="1"/>
                <w:color w:val="auto"/>
              </w:rPr>
            </w:pPr>
          </w:p>
        </w:tc>
        <w:tc>
          <w:tcPr>
            <w:tcW w:w="9400" w:type="dxa"/>
            <w:vAlign w:val="bottom"/>
            <w:gridSpan w:val="48"/>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175"/>
        </w:trPr>
        <w:tc>
          <w:tcPr>
            <w:tcW w:w="160" w:type="dxa"/>
            <w:vAlign w:val="bottom"/>
            <w:shd w:val="clear" w:color="auto" w:fill="CCEEFF"/>
          </w:tcPr>
          <w:p>
            <w:pPr>
              <w:spacing w:after="0"/>
              <w:rPr>
                <w:sz w:val="15"/>
                <w:szCs w:val="15"/>
                <w:color w:val="auto"/>
              </w:rPr>
            </w:pPr>
          </w:p>
        </w:tc>
        <w:tc>
          <w:tcPr>
            <w:tcW w:w="10440" w:type="dxa"/>
            <w:vAlign w:val="bottom"/>
            <w:gridSpan w:val="4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Vote Required</w:t>
            </w:r>
          </w:p>
        </w:tc>
        <w:tc>
          <w:tcPr>
            <w:tcW w:w="360" w:type="dxa"/>
            <w:vAlign w:val="bottom"/>
            <w:gridSpan w:val="4"/>
            <w:shd w:val="clear" w:color="auto" w:fill="CCEEFF"/>
          </w:tcPr>
          <w:p>
            <w:pPr>
              <w:jc w:val="center"/>
              <w:ind w:left="190"/>
              <w:spacing w:after="0" w:line="176" w:lineRule="exact"/>
              <w:rPr>
                <w:sz w:val="20"/>
                <w:szCs w:val="20"/>
                <w:color w:val="auto"/>
              </w:rPr>
            </w:pPr>
            <w:r>
              <w:rPr>
                <w:rFonts w:ascii="Times New Roman" w:cs="Times New Roman" w:eastAsia="Times New Roman" w:hAnsi="Times New Roman"/>
                <w:sz w:val="18"/>
                <w:szCs w:val="18"/>
                <w:color w:val="0000EE"/>
                <w:w w:val="88"/>
              </w:rPr>
              <w:t>3</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r>
      <w:tr>
        <w:trPr>
          <w:trHeight w:val="21"/>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0000EE"/>
            </w:tcBorders>
            <w:gridSpan w:val="3"/>
            <w:shd w:val="clear" w:color="auto" w:fill="CCEEFF"/>
          </w:tcPr>
          <w:p>
            <w:pPr>
              <w:spacing w:after="0" w:line="20" w:lineRule="exact"/>
              <w:rPr>
                <w:sz w:val="1"/>
                <w:szCs w:val="1"/>
                <w:color w:val="auto"/>
              </w:rPr>
            </w:pPr>
          </w:p>
        </w:tc>
        <w:tc>
          <w:tcPr>
            <w:tcW w:w="9680" w:type="dxa"/>
            <w:vAlign w:val="bottom"/>
            <w:tcBorders>
              <w:top w:val="single" w:sz="8" w:color="CCEEFF"/>
            </w:tcBorders>
            <w:gridSpan w:val="49"/>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5"/>
        </w:trPr>
        <w:tc>
          <w:tcPr>
            <w:tcW w:w="160" w:type="dxa"/>
            <w:vAlign w:val="bottom"/>
          </w:tcPr>
          <w:p>
            <w:pPr>
              <w:spacing w:after="0"/>
              <w:rPr>
                <w:sz w:val="15"/>
                <w:szCs w:val="15"/>
                <w:color w:val="auto"/>
              </w:rPr>
            </w:pPr>
          </w:p>
        </w:tc>
        <w:tc>
          <w:tcPr>
            <w:tcW w:w="10440" w:type="dxa"/>
            <w:vAlign w:val="bottom"/>
            <w:gridSpan w:val="49"/>
          </w:tcPr>
          <w:p>
            <w:pPr>
              <w:ind w:left="20"/>
              <w:spacing w:after="0" w:line="176" w:lineRule="exact"/>
              <w:rPr>
                <w:sz w:val="20"/>
                <w:szCs w:val="20"/>
                <w:color w:val="auto"/>
              </w:rPr>
            </w:pPr>
            <w:r>
              <w:rPr>
                <w:rFonts w:ascii="Times New Roman" w:cs="Times New Roman" w:eastAsia="Times New Roman" w:hAnsi="Times New Roman"/>
                <w:sz w:val="18"/>
                <w:szCs w:val="18"/>
                <w:color w:val="0000EE"/>
              </w:rPr>
              <w:t>Information Regarding This Solicitation</w:t>
            </w:r>
          </w:p>
        </w:tc>
        <w:tc>
          <w:tcPr>
            <w:tcW w:w="360" w:type="dxa"/>
            <w:vAlign w:val="bottom"/>
            <w:gridSpan w:val="4"/>
          </w:tcPr>
          <w:p>
            <w:pPr>
              <w:jc w:val="center"/>
              <w:ind w:left="190"/>
              <w:spacing w:after="0" w:line="176" w:lineRule="exact"/>
              <w:rPr>
                <w:sz w:val="20"/>
                <w:szCs w:val="20"/>
                <w:color w:val="auto"/>
              </w:rPr>
            </w:pPr>
            <w:r>
              <w:rPr>
                <w:rFonts w:ascii="Times New Roman" w:cs="Times New Roman" w:eastAsia="Times New Roman" w:hAnsi="Times New Roman"/>
                <w:sz w:val="18"/>
                <w:szCs w:val="18"/>
                <w:color w:val="0000EE"/>
                <w:w w:val="88"/>
              </w:rPr>
              <w:t>4</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1"/>
        </w:trPr>
        <w:tc>
          <w:tcPr>
            <w:tcW w:w="160" w:type="dxa"/>
            <w:vAlign w:val="bottom"/>
          </w:tcPr>
          <w:p>
            <w:pPr>
              <w:spacing w:after="0" w:line="20" w:lineRule="exact"/>
              <w:rPr>
                <w:sz w:val="1"/>
                <w:szCs w:val="1"/>
                <w:color w:val="auto"/>
              </w:rPr>
            </w:pPr>
          </w:p>
        </w:tc>
        <w:tc>
          <w:tcPr>
            <w:tcW w:w="2900" w:type="dxa"/>
            <w:vAlign w:val="bottom"/>
            <w:tcBorders>
              <w:top w:val="single" w:sz="8" w:color="0000EE"/>
            </w:tcBorders>
            <w:gridSpan w:val="25"/>
          </w:tcPr>
          <w:p>
            <w:pPr>
              <w:spacing w:after="0" w:line="20" w:lineRule="exact"/>
              <w:rPr>
                <w:sz w:val="1"/>
                <w:szCs w:val="1"/>
                <w:color w:val="auto"/>
              </w:rPr>
            </w:pPr>
          </w:p>
        </w:tc>
        <w:tc>
          <w:tcPr>
            <w:tcW w:w="7820" w:type="dxa"/>
            <w:vAlign w:val="bottom"/>
            <w:gridSpan w:val="27"/>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176"/>
        </w:trPr>
        <w:tc>
          <w:tcPr>
            <w:tcW w:w="160" w:type="dxa"/>
            <w:vAlign w:val="bottom"/>
            <w:shd w:val="clear" w:color="auto" w:fill="CCEEFF"/>
          </w:tcPr>
          <w:p>
            <w:pPr>
              <w:spacing w:after="0"/>
              <w:rPr>
                <w:sz w:val="15"/>
                <w:szCs w:val="15"/>
                <w:color w:val="auto"/>
              </w:rPr>
            </w:pPr>
          </w:p>
        </w:tc>
        <w:tc>
          <w:tcPr>
            <w:tcW w:w="3580" w:type="dxa"/>
            <w:vAlign w:val="bottom"/>
            <w:gridSpan w:val="3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8"/>
              </w:rPr>
              <w:t>Notice of Internet Availability of Proxy Materials</w:t>
            </w:r>
          </w:p>
        </w:tc>
        <w:tc>
          <w:tcPr>
            <w:tcW w:w="6860" w:type="dxa"/>
            <w:vAlign w:val="bottom"/>
            <w:gridSpan w:val="16"/>
            <w:shd w:val="clear" w:color="auto" w:fill="CCEEFF"/>
          </w:tcPr>
          <w:p>
            <w:pPr>
              <w:spacing w:after="0"/>
              <w:rPr>
                <w:sz w:val="15"/>
                <w:szCs w:val="15"/>
                <w:color w:val="auto"/>
              </w:rPr>
            </w:pPr>
          </w:p>
        </w:tc>
        <w:tc>
          <w:tcPr>
            <w:tcW w:w="360" w:type="dxa"/>
            <w:vAlign w:val="bottom"/>
            <w:gridSpan w:val="4"/>
            <w:shd w:val="clear" w:color="auto" w:fill="CCEEFF"/>
          </w:tcPr>
          <w:p>
            <w:pPr>
              <w:jc w:val="center"/>
              <w:ind w:left="190"/>
              <w:spacing w:after="0" w:line="176" w:lineRule="exact"/>
              <w:rPr>
                <w:sz w:val="20"/>
                <w:szCs w:val="20"/>
                <w:color w:val="auto"/>
              </w:rPr>
            </w:pPr>
            <w:r>
              <w:rPr>
                <w:rFonts w:ascii="Times New Roman" w:cs="Times New Roman" w:eastAsia="Times New Roman" w:hAnsi="Times New Roman"/>
                <w:sz w:val="18"/>
                <w:szCs w:val="18"/>
                <w:color w:val="0000EE"/>
                <w:w w:val="88"/>
              </w:rPr>
              <w:t>4</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r>
      <w:tr>
        <w:trPr>
          <w:trHeight w:val="20"/>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3580" w:type="dxa"/>
            <w:vAlign w:val="bottom"/>
            <w:tcBorders>
              <w:top w:val="single" w:sz="8" w:color="0000EE"/>
            </w:tcBorders>
            <w:gridSpan w:val="33"/>
            <w:shd w:val="clear" w:color="auto" w:fill="CCEEFF"/>
          </w:tcPr>
          <w:p>
            <w:pPr>
              <w:spacing w:after="0" w:line="20" w:lineRule="exact"/>
              <w:rPr>
                <w:sz w:val="1"/>
                <w:szCs w:val="1"/>
                <w:color w:val="auto"/>
              </w:rPr>
            </w:pPr>
          </w:p>
        </w:tc>
        <w:tc>
          <w:tcPr>
            <w:tcW w:w="7140" w:type="dxa"/>
            <w:vAlign w:val="bottom"/>
            <w:tcBorders>
              <w:top w:val="single" w:sz="8" w:color="CCEEFF"/>
            </w:tcBorders>
            <w:gridSpan w:val="19"/>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5"/>
        </w:trPr>
        <w:tc>
          <w:tcPr>
            <w:tcW w:w="160" w:type="dxa"/>
            <w:vAlign w:val="bottom"/>
          </w:tcPr>
          <w:p>
            <w:pPr>
              <w:spacing w:after="0"/>
              <w:rPr>
                <w:sz w:val="15"/>
                <w:szCs w:val="15"/>
                <w:color w:val="auto"/>
              </w:rPr>
            </w:pPr>
          </w:p>
        </w:tc>
        <w:tc>
          <w:tcPr>
            <w:tcW w:w="3580" w:type="dxa"/>
            <w:vAlign w:val="bottom"/>
            <w:gridSpan w:val="33"/>
          </w:tcPr>
          <w:p>
            <w:pPr>
              <w:ind w:left="20"/>
              <w:spacing w:after="0" w:line="176" w:lineRule="exact"/>
              <w:rPr>
                <w:sz w:val="20"/>
                <w:szCs w:val="20"/>
                <w:color w:val="auto"/>
              </w:rPr>
            </w:pPr>
            <w:r>
              <w:rPr>
                <w:rFonts w:ascii="Times New Roman" w:cs="Times New Roman" w:eastAsia="Times New Roman" w:hAnsi="Times New Roman"/>
                <w:sz w:val="18"/>
                <w:szCs w:val="18"/>
                <w:color w:val="0000EE"/>
              </w:rPr>
              <w:t>Electronic Delivery of Proxy Materials</w:t>
            </w:r>
          </w:p>
        </w:tc>
        <w:tc>
          <w:tcPr>
            <w:tcW w:w="6860" w:type="dxa"/>
            <w:vAlign w:val="bottom"/>
            <w:gridSpan w:val="16"/>
          </w:tcPr>
          <w:p>
            <w:pPr>
              <w:spacing w:after="0"/>
              <w:rPr>
                <w:sz w:val="15"/>
                <w:szCs w:val="15"/>
                <w:color w:val="auto"/>
              </w:rPr>
            </w:pPr>
          </w:p>
        </w:tc>
        <w:tc>
          <w:tcPr>
            <w:tcW w:w="360" w:type="dxa"/>
            <w:vAlign w:val="bottom"/>
            <w:gridSpan w:val="4"/>
          </w:tcPr>
          <w:p>
            <w:pPr>
              <w:jc w:val="center"/>
              <w:ind w:left="190"/>
              <w:spacing w:after="0" w:line="176" w:lineRule="exact"/>
              <w:rPr>
                <w:sz w:val="20"/>
                <w:szCs w:val="20"/>
                <w:color w:val="auto"/>
              </w:rPr>
            </w:pPr>
            <w:r>
              <w:rPr>
                <w:rFonts w:ascii="Times New Roman" w:cs="Times New Roman" w:eastAsia="Times New Roman" w:hAnsi="Times New Roman"/>
                <w:sz w:val="18"/>
                <w:szCs w:val="18"/>
                <w:color w:val="0000EE"/>
                <w:w w:val="88"/>
              </w:rPr>
              <w:t>5</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1"/>
        </w:trPr>
        <w:tc>
          <w:tcPr>
            <w:tcW w:w="160" w:type="dxa"/>
            <w:vAlign w:val="bottom"/>
          </w:tcPr>
          <w:p>
            <w:pPr>
              <w:spacing w:after="0" w:line="20" w:lineRule="exact"/>
              <w:rPr>
                <w:sz w:val="1"/>
                <w:szCs w:val="1"/>
                <w:color w:val="auto"/>
              </w:rPr>
            </w:pPr>
          </w:p>
        </w:tc>
        <w:tc>
          <w:tcPr>
            <w:tcW w:w="2820" w:type="dxa"/>
            <w:vAlign w:val="bottom"/>
            <w:tcBorders>
              <w:top w:val="single" w:sz="8" w:color="0000EE"/>
            </w:tcBorders>
            <w:gridSpan w:val="24"/>
          </w:tcPr>
          <w:p>
            <w:pPr>
              <w:spacing w:after="0" w:line="20" w:lineRule="exact"/>
              <w:rPr>
                <w:sz w:val="1"/>
                <w:szCs w:val="1"/>
                <w:color w:val="auto"/>
              </w:rPr>
            </w:pPr>
          </w:p>
        </w:tc>
        <w:tc>
          <w:tcPr>
            <w:tcW w:w="7900" w:type="dxa"/>
            <w:vAlign w:val="bottom"/>
            <w:gridSpan w:val="28"/>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176"/>
        </w:trPr>
        <w:tc>
          <w:tcPr>
            <w:tcW w:w="160" w:type="dxa"/>
            <w:vAlign w:val="bottom"/>
            <w:shd w:val="clear" w:color="auto" w:fill="CCEEFF"/>
          </w:tcPr>
          <w:p>
            <w:pPr>
              <w:spacing w:after="0"/>
              <w:rPr>
                <w:sz w:val="15"/>
                <w:szCs w:val="15"/>
                <w:color w:val="auto"/>
              </w:rPr>
            </w:pPr>
          </w:p>
        </w:tc>
        <w:tc>
          <w:tcPr>
            <w:tcW w:w="4900" w:type="dxa"/>
            <w:vAlign w:val="bottom"/>
            <w:gridSpan w:val="41"/>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w:t>
            </w:r>
          </w:p>
        </w:tc>
        <w:tc>
          <w:tcPr>
            <w:tcW w:w="5540" w:type="dxa"/>
            <w:vAlign w:val="bottom"/>
            <w:gridSpan w:val="8"/>
            <w:shd w:val="clear" w:color="auto" w:fill="CCEEFF"/>
          </w:tcPr>
          <w:p>
            <w:pPr>
              <w:spacing w:after="0"/>
              <w:rPr>
                <w:sz w:val="15"/>
                <w:szCs w:val="15"/>
                <w:color w:val="auto"/>
              </w:rPr>
            </w:pPr>
          </w:p>
        </w:tc>
        <w:tc>
          <w:tcPr>
            <w:tcW w:w="360" w:type="dxa"/>
            <w:vAlign w:val="bottom"/>
            <w:gridSpan w:val="4"/>
            <w:shd w:val="clear" w:color="auto" w:fill="CCEEFF"/>
          </w:tcPr>
          <w:p>
            <w:pPr>
              <w:jc w:val="center"/>
              <w:ind w:left="190"/>
              <w:spacing w:after="0" w:line="176" w:lineRule="exact"/>
              <w:rPr>
                <w:sz w:val="20"/>
                <w:szCs w:val="20"/>
                <w:color w:val="auto"/>
              </w:rPr>
            </w:pPr>
            <w:r>
              <w:rPr>
                <w:rFonts w:ascii="Times New Roman" w:cs="Times New Roman" w:eastAsia="Times New Roman" w:hAnsi="Times New Roman"/>
                <w:sz w:val="18"/>
                <w:szCs w:val="18"/>
                <w:color w:val="0000EE"/>
                <w:w w:val="88"/>
              </w:rPr>
              <w:t>5</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r>
      <w:tr>
        <w:trPr>
          <w:trHeight w:val="21"/>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4900" w:type="dxa"/>
            <w:vAlign w:val="bottom"/>
            <w:tcBorders>
              <w:top w:val="single" w:sz="8" w:color="0000EE"/>
            </w:tcBorders>
            <w:gridSpan w:val="41"/>
            <w:shd w:val="clear" w:color="auto" w:fill="CCEEFF"/>
          </w:tcPr>
          <w:p>
            <w:pPr>
              <w:spacing w:after="0" w:line="20" w:lineRule="exact"/>
              <w:rPr>
                <w:sz w:val="1"/>
                <w:szCs w:val="1"/>
                <w:color w:val="auto"/>
              </w:rPr>
            </w:pPr>
          </w:p>
        </w:tc>
        <w:tc>
          <w:tcPr>
            <w:tcW w:w="5820" w:type="dxa"/>
            <w:vAlign w:val="bottom"/>
            <w:tcBorders>
              <w:top w:val="single" w:sz="8" w:color="CCEEFF"/>
            </w:tcBorders>
            <w:gridSpan w:val="11"/>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5"/>
        </w:trPr>
        <w:tc>
          <w:tcPr>
            <w:tcW w:w="160" w:type="dxa"/>
            <w:vAlign w:val="bottom"/>
          </w:tcPr>
          <w:p>
            <w:pPr>
              <w:spacing w:after="0"/>
              <w:rPr>
                <w:sz w:val="15"/>
                <w:szCs w:val="15"/>
                <w:color w:val="auto"/>
              </w:rPr>
            </w:pPr>
          </w:p>
        </w:tc>
        <w:tc>
          <w:tcPr>
            <w:tcW w:w="4900" w:type="dxa"/>
            <w:vAlign w:val="bottom"/>
            <w:gridSpan w:val="41"/>
          </w:tcPr>
          <w:p>
            <w:pPr>
              <w:ind w:left="20"/>
              <w:spacing w:after="0" w:line="176" w:lineRule="exact"/>
              <w:rPr>
                <w:sz w:val="20"/>
                <w:szCs w:val="20"/>
                <w:color w:val="auto"/>
              </w:rPr>
            </w:pPr>
            <w:r>
              <w:rPr>
                <w:rFonts w:ascii="Times New Roman" w:cs="Times New Roman" w:eastAsia="Times New Roman" w:hAnsi="Times New Roman"/>
                <w:sz w:val="18"/>
                <w:szCs w:val="18"/>
                <w:color w:val="0000EE"/>
              </w:rPr>
              <w:t>Delinquent Section 16(a) Reports</w:t>
            </w:r>
          </w:p>
        </w:tc>
        <w:tc>
          <w:tcPr>
            <w:tcW w:w="5540" w:type="dxa"/>
            <w:vAlign w:val="bottom"/>
            <w:gridSpan w:val="8"/>
          </w:tcPr>
          <w:p>
            <w:pPr>
              <w:spacing w:after="0"/>
              <w:rPr>
                <w:sz w:val="15"/>
                <w:szCs w:val="15"/>
                <w:color w:val="auto"/>
              </w:rPr>
            </w:pPr>
          </w:p>
        </w:tc>
        <w:tc>
          <w:tcPr>
            <w:tcW w:w="360" w:type="dxa"/>
            <w:vAlign w:val="bottom"/>
            <w:gridSpan w:val="4"/>
          </w:tcPr>
          <w:p>
            <w:pPr>
              <w:jc w:val="center"/>
              <w:ind w:left="190"/>
              <w:spacing w:after="0" w:line="176" w:lineRule="exact"/>
              <w:rPr>
                <w:sz w:val="20"/>
                <w:szCs w:val="20"/>
                <w:color w:val="auto"/>
              </w:rPr>
            </w:pPr>
            <w:r>
              <w:rPr>
                <w:rFonts w:ascii="Times New Roman" w:cs="Times New Roman" w:eastAsia="Times New Roman" w:hAnsi="Times New Roman"/>
                <w:sz w:val="18"/>
                <w:szCs w:val="18"/>
                <w:color w:val="0000EE"/>
                <w:w w:val="88"/>
              </w:rPr>
              <w:t>7</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1"/>
        </w:trPr>
        <w:tc>
          <w:tcPr>
            <w:tcW w:w="160" w:type="dxa"/>
            <w:vAlign w:val="bottom"/>
          </w:tcPr>
          <w:p>
            <w:pPr>
              <w:spacing w:after="0" w:line="20" w:lineRule="exact"/>
              <w:rPr>
                <w:sz w:val="1"/>
                <w:szCs w:val="1"/>
                <w:color w:val="auto"/>
              </w:rPr>
            </w:pPr>
          </w:p>
        </w:tc>
        <w:tc>
          <w:tcPr>
            <w:tcW w:w="2420" w:type="dxa"/>
            <w:vAlign w:val="bottom"/>
            <w:tcBorders>
              <w:top w:val="single" w:sz="8" w:color="0000EE"/>
            </w:tcBorders>
            <w:gridSpan w:val="16"/>
          </w:tcPr>
          <w:p>
            <w:pPr>
              <w:spacing w:after="0" w:line="20" w:lineRule="exact"/>
              <w:rPr>
                <w:sz w:val="1"/>
                <w:szCs w:val="1"/>
                <w:color w:val="auto"/>
              </w:rPr>
            </w:pPr>
          </w:p>
        </w:tc>
        <w:tc>
          <w:tcPr>
            <w:tcW w:w="8300" w:type="dxa"/>
            <w:vAlign w:val="bottom"/>
            <w:gridSpan w:val="36"/>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175"/>
        </w:trPr>
        <w:tc>
          <w:tcPr>
            <w:tcW w:w="10600" w:type="dxa"/>
            <w:vAlign w:val="bottom"/>
            <w:gridSpan w:val="5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PROPOSAL I: ELECTION OF DIRECTORS</w:t>
            </w:r>
          </w:p>
        </w:tc>
        <w:tc>
          <w:tcPr>
            <w:tcW w:w="360" w:type="dxa"/>
            <w:vAlign w:val="bottom"/>
            <w:gridSpan w:val="4"/>
            <w:shd w:val="clear" w:color="auto" w:fill="CCEEFF"/>
          </w:tcPr>
          <w:p>
            <w:pPr>
              <w:jc w:val="center"/>
              <w:ind w:left="190"/>
              <w:spacing w:after="0" w:line="176" w:lineRule="exact"/>
              <w:rPr>
                <w:sz w:val="20"/>
                <w:szCs w:val="20"/>
                <w:color w:val="auto"/>
              </w:rPr>
            </w:pPr>
            <w:r>
              <w:rPr>
                <w:rFonts w:ascii="Times New Roman" w:cs="Times New Roman" w:eastAsia="Times New Roman" w:hAnsi="Times New Roman"/>
                <w:sz w:val="18"/>
                <w:szCs w:val="18"/>
                <w:color w:val="0000EE"/>
                <w:w w:val="88"/>
              </w:rPr>
              <w:t>8</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r>
      <w:tr>
        <w:trPr>
          <w:trHeight w:val="21"/>
        </w:trPr>
        <w:tc>
          <w:tcPr>
            <w:tcW w:w="3320" w:type="dxa"/>
            <w:vAlign w:val="bottom"/>
            <w:tcBorders>
              <w:top w:val="single" w:sz="8" w:color="0000EE"/>
            </w:tcBorders>
            <w:gridSpan w:val="30"/>
            <w:shd w:val="clear" w:color="auto" w:fill="CCEEFF"/>
          </w:tcPr>
          <w:p>
            <w:pPr>
              <w:spacing w:after="0" w:line="20" w:lineRule="exact"/>
              <w:rPr>
                <w:sz w:val="1"/>
                <w:szCs w:val="1"/>
                <w:color w:val="auto"/>
              </w:rPr>
            </w:pPr>
          </w:p>
        </w:tc>
        <w:tc>
          <w:tcPr>
            <w:tcW w:w="7560" w:type="dxa"/>
            <w:vAlign w:val="bottom"/>
            <w:tcBorders>
              <w:top w:val="single" w:sz="8" w:color="CCEEFF"/>
            </w:tcBorders>
            <w:gridSpan w:val="23"/>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6"/>
        </w:trPr>
        <w:tc>
          <w:tcPr>
            <w:tcW w:w="160" w:type="dxa"/>
            <w:vAlign w:val="bottom"/>
          </w:tcPr>
          <w:p>
            <w:pPr>
              <w:spacing w:after="0"/>
              <w:rPr>
                <w:sz w:val="15"/>
                <w:szCs w:val="15"/>
                <w:color w:val="auto"/>
              </w:rPr>
            </w:pPr>
          </w:p>
        </w:tc>
        <w:tc>
          <w:tcPr>
            <w:tcW w:w="10440" w:type="dxa"/>
            <w:vAlign w:val="bottom"/>
            <w:gridSpan w:val="49"/>
          </w:tcPr>
          <w:p>
            <w:pPr>
              <w:ind w:left="20"/>
              <w:spacing w:after="0" w:line="176" w:lineRule="exact"/>
              <w:rPr>
                <w:sz w:val="20"/>
                <w:szCs w:val="20"/>
                <w:color w:val="auto"/>
              </w:rPr>
            </w:pPr>
            <w:r>
              <w:rPr>
                <w:rFonts w:ascii="Times New Roman" w:cs="Times New Roman" w:eastAsia="Times New Roman" w:hAnsi="Times New Roman"/>
                <w:sz w:val="18"/>
                <w:szCs w:val="18"/>
                <w:color w:val="0000EE"/>
              </w:rPr>
              <w:t>Information about the Director-Nominees and Directors</w:t>
            </w:r>
          </w:p>
        </w:tc>
        <w:tc>
          <w:tcPr>
            <w:tcW w:w="360" w:type="dxa"/>
            <w:vAlign w:val="bottom"/>
            <w:gridSpan w:val="4"/>
          </w:tcPr>
          <w:p>
            <w:pPr>
              <w:jc w:val="center"/>
              <w:ind w:left="190"/>
              <w:spacing w:after="0" w:line="176" w:lineRule="exact"/>
              <w:rPr>
                <w:sz w:val="20"/>
                <w:szCs w:val="20"/>
                <w:color w:val="auto"/>
              </w:rPr>
            </w:pPr>
            <w:r>
              <w:rPr>
                <w:rFonts w:ascii="Times New Roman" w:cs="Times New Roman" w:eastAsia="Times New Roman" w:hAnsi="Times New Roman"/>
                <w:sz w:val="18"/>
                <w:szCs w:val="18"/>
                <w:color w:val="0000EE"/>
                <w:w w:val="88"/>
              </w:rPr>
              <w:t>8</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0"/>
        </w:trPr>
        <w:tc>
          <w:tcPr>
            <w:tcW w:w="160" w:type="dxa"/>
            <w:vAlign w:val="bottom"/>
          </w:tcPr>
          <w:p>
            <w:pPr>
              <w:spacing w:after="0" w:line="20" w:lineRule="exact"/>
              <w:rPr>
                <w:sz w:val="1"/>
                <w:szCs w:val="1"/>
                <w:color w:val="auto"/>
              </w:rPr>
            </w:pPr>
          </w:p>
        </w:tc>
        <w:tc>
          <w:tcPr>
            <w:tcW w:w="4020" w:type="dxa"/>
            <w:vAlign w:val="bottom"/>
            <w:tcBorders>
              <w:top w:val="single" w:sz="8" w:color="0000EE"/>
            </w:tcBorders>
            <w:gridSpan w:val="35"/>
          </w:tcPr>
          <w:p>
            <w:pPr>
              <w:spacing w:after="0" w:line="20" w:lineRule="exact"/>
              <w:rPr>
                <w:sz w:val="1"/>
                <w:szCs w:val="1"/>
                <w:color w:val="auto"/>
              </w:rPr>
            </w:pPr>
          </w:p>
        </w:tc>
        <w:tc>
          <w:tcPr>
            <w:tcW w:w="6700" w:type="dxa"/>
            <w:vAlign w:val="bottom"/>
            <w:gridSpan w:val="17"/>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176"/>
        </w:trPr>
        <w:tc>
          <w:tcPr>
            <w:tcW w:w="160" w:type="dxa"/>
            <w:vAlign w:val="bottom"/>
            <w:shd w:val="clear" w:color="auto" w:fill="CCEEFF"/>
          </w:tcPr>
          <w:p>
            <w:pPr>
              <w:spacing w:after="0"/>
              <w:rPr>
                <w:sz w:val="15"/>
                <w:szCs w:val="15"/>
                <w:color w:val="auto"/>
              </w:rPr>
            </w:pPr>
          </w:p>
        </w:tc>
        <w:tc>
          <w:tcPr>
            <w:tcW w:w="10440" w:type="dxa"/>
            <w:vAlign w:val="bottom"/>
            <w:gridSpan w:val="4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Interested Director</w:t>
            </w:r>
          </w:p>
        </w:tc>
        <w:tc>
          <w:tcPr>
            <w:tcW w:w="360" w:type="dxa"/>
            <w:vAlign w:val="bottom"/>
            <w:gridSpan w:val="4"/>
            <w:shd w:val="clear" w:color="auto" w:fill="CCEEFF"/>
          </w:tcPr>
          <w:p>
            <w:pPr>
              <w:jc w:val="center"/>
              <w:ind w:left="190"/>
              <w:spacing w:after="0" w:line="176" w:lineRule="exact"/>
              <w:rPr>
                <w:sz w:val="20"/>
                <w:szCs w:val="20"/>
                <w:color w:val="auto"/>
              </w:rPr>
            </w:pPr>
            <w:r>
              <w:rPr>
                <w:rFonts w:ascii="Times New Roman" w:cs="Times New Roman" w:eastAsia="Times New Roman" w:hAnsi="Times New Roman"/>
                <w:sz w:val="18"/>
                <w:szCs w:val="18"/>
                <w:color w:val="0000EE"/>
                <w:w w:val="88"/>
              </w:rPr>
              <w:t>9</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r>
      <w:tr>
        <w:trPr>
          <w:trHeight w:val="20"/>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0000EE"/>
            </w:tcBorders>
            <w:gridSpan w:val="5"/>
            <w:shd w:val="clear" w:color="auto" w:fill="CCEEFF"/>
          </w:tcPr>
          <w:p>
            <w:pPr>
              <w:spacing w:after="0" w:line="20" w:lineRule="exact"/>
              <w:rPr>
                <w:sz w:val="1"/>
                <w:szCs w:val="1"/>
                <w:color w:val="auto"/>
              </w:rPr>
            </w:pPr>
          </w:p>
        </w:tc>
        <w:tc>
          <w:tcPr>
            <w:tcW w:w="9360" w:type="dxa"/>
            <w:vAlign w:val="bottom"/>
            <w:tcBorders>
              <w:top w:val="single" w:sz="8" w:color="CCEEFF"/>
            </w:tcBorders>
            <w:gridSpan w:val="47"/>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6"/>
        </w:trPr>
        <w:tc>
          <w:tcPr>
            <w:tcW w:w="160" w:type="dxa"/>
            <w:vAlign w:val="bottom"/>
          </w:tcPr>
          <w:p>
            <w:pPr>
              <w:spacing w:after="0"/>
              <w:rPr>
                <w:sz w:val="15"/>
                <w:szCs w:val="15"/>
                <w:color w:val="auto"/>
              </w:rPr>
            </w:pPr>
          </w:p>
        </w:tc>
        <w:tc>
          <w:tcPr>
            <w:tcW w:w="10440" w:type="dxa"/>
            <w:vAlign w:val="bottom"/>
            <w:gridSpan w:val="49"/>
          </w:tcPr>
          <w:p>
            <w:pPr>
              <w:ind w:left="20"/>
              <w:spacing w:after="0" w:line="176" w:lineRule="exact"/>
              <w:rPr>
                <w:sz w:val="20"/>
                <w:szCs w:val="20"/>
                <w:color w:val="auto"/>
              </w:rPr>
            </w:pPr>
            <w:r>
              <w:rPr>
                <w:rFonts w:ascii="Times New Roman" w:cs="Times New Roman" w:eastAsia="Times New Roman" w:hAnsi="Times New Roman"/>
                <w:sz w:val="18"/>
                <w:szCs w:val="18"/>
                <w:color w:val="0000EE"/>
              </w:rPr>
              <w:t>Independent Directors</w:t>
            </w:r>
          </w:p>
        </w:tc>
        <w:tc>
          <w:tcPr>
            <w:tcW w:w="360" w:type="dxa"/>
            <w:vAlign w:val="bottom"/>
            <w:gridSpan w:val="4"/>
          </w:tcPr>
          <w:p>
            <w:pPr>
              <w:jc w:val="center"/>
              <w:ind w:left="190"/>
              <w:spacing w:after="0" w:line="176" w:lineRule="exact"/>
              <w:rPr>
                <w:sz w:val="20"/>
                <w:szCs w:val="20"/>
                <w:color w:val="auto"/>
              </w:rPr>
            </w:pPr>
            <w:r>
              <w:rPr>
                <w:rFonts w:ascii="Times New Roman" w:cs="Times New Roman" w:eastAsia="Times New Roman" w:hAnsi="Times New Roman"/>
                <w:sz w:val="18"/>
                <w:szCs w:val="18"/>
                <w:color w:val="0000EE"/>
                <w:w w:val="88"/>
              </w:rPr>
              <w:t>9</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1"/>
        </w:trPr>
        <w:tc>
          <w:tcPr>
            <w:tcW w:w="160" w:type="dxa"/>
            <w:vAlign w:val="bottom"/>
          </w:tcPr>
          <w:p>
            <w:pPr>
              <w:spacing w:after="0" w:line="20" w:lineRule="exact"/>
              <w:rPr>
                <w:sz w:val="1"/>
                <w:szCs w:val="1"/>
                <w:color w:val="auto"/>
              </w:rPr>
            </w:pPr>
          </w:p>
        </w:tc>
        <w:tc>
          <w:tcPr>
            <w:tcW w:w="1620" w:type="dxa"/>
            <w:vAlign w:val="bottom"/>
            <w:tcBorders>
              <w:top w:val="single" w:sz="8" w:color="0000EE"/>
            </w:tcBorders>
            <w:gridSpan w:val="8"/>
          </w:tcPr>
          <w:p>
            <w:pPr>
              <w:spacing w:after="0" w:line="20" w:lineRule="exact"/>
              <w:rPr>
                <w:sz w:val="1"/>
                <w:szCs w:val="1"/>
                <w:color w:val="auto"/>
              </w:rPr>
            </w:pPr>
          </w:p>
        </w:tc>
        <w:tc>
          <w:tcPr>
            <w:tcW w:w="9100" w:type="dxa"/>
            <w:vAlign w:val="bottom"/>
            <w:gridSpan w:val="44"/>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4720" w:type="dxa"/>
            <w:vAlign w:val="bottom"/>
            <w:tcBorders>
              <w:bottom w:val="single" w:sz="8" w:color="0000EE"/>
            </w:tcBorders>
            <w:gridSpan w:val="40"/>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9"/>
              </w:rPr>
              <w:t>Information about the Executive Officers Who Are Not Directors</w:t>
            </w:r>
          </w:p>
        </w:tc>
        <w:tc>
          <w:tcPr>
            <w:tcW w:w="5720" w:type="dxa"/>
            <w:vAlign w:val="bottom"/>
            <w:tcBorders>
              <w:bottom w:val="single" w:sz="8" w:color="CCEEFF"/>
            </w:tcBorders>
            <w:gridSpan w:val="9"/>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4"/>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0000EE"/>
                <w:w w:val="99"/>
              </w:rPr>
              <w:t>11</w:t>
            </w:r>
          </w:p>
        </w:tc>
        <w:tc>
          <w:tcPr>
            <w:tcW w:w="240" w:type="dxa"/>
            <w:vAlign w:val="bottom"/>
            <w:tcBorders>
              <w:bottom w:val="single" w:sz="8" w:color="CCEEFF"/>
            </w:tcBorders>
            <w:shd w:val="clear" w:color="auto" w:fill="CCEEFF"/>
          </w:tcPr>
          <w:p>
            <w:pPr>
              <w:spacing w:after="0"/>
              <w:rPr>
                <w:sz w:val="17"/>
                <w:szCs w:val="17"/>
                <w:color w:val="auto"/>
              </w:rPr>
            </w:pPr>
          </w:p>
        </w:tc>
      </w:tr>
      <w:tr>
        <w:trPr>
          <w:trHeight w:val="175"/>
        </w:trPr>
        <w:tc>
          <w:tcPr>
            <w:tcW w:w="10600" w:type="dxa"/>
            <w:vAlign w:val="bottom"/>
            <w:gridSpan w:val="50"/>
          </w:tcPr>
          <w:p>
            <w:pPr>
              <w:spacing w:after="0" w:line="176" w:lineRule="exact"/>
              <w:rPr>
                <w:sz w:val="20"/>
                <w:szCs w:val="20"/>
                <w:color w:val="auto"/>
              </w:rPr>
            </w:pPr>
            <w:r>
              <w:rPr>
                <w:rFonts w:ascii="Times New Roman" w:cs="Times New Roman" w:eastAsia="Times New Roman" w:hAnsi="Times New Roman"/>
                <w:sz w:val="18"/>
                <w:szCs w:val="18"/>
                <w:color w:val="0000EE"/>
              </w:rPr>
              <w:t>CORPORATE GOVERNANCE</w:t>
            </w:r>
          </w:p>
        </w:tc>
        <w:tc>
          <w:tcPr>
            <w:tcW w:w="400" w:type="dxa"/>
            <w:vAlign w:val="bottom"/>
            <w:gridSpan w:val="5"/>
          </w:tcPr>
          <w:p>
            <w:pPr>
              <w:jc w:val="center"/>
              <w:ind w:left="130"/>
              <w:spacing w:after="0" w:line="176" w:lineRule="exact"/>
              <w:rPr>
                <w:sz w:val="20"/>
                <w:szCs w:val="20"/>
                <w:color w:val="auto"/>
              </w:rPr>
            </w:pPr>
            <w:r>
              <w:rPr>
                <w:rFonts w:ascii="Times New Roman" w:cs="Times New Roman" w:eastAsia="Times New Roman" w:hAnsi="Times New Roman"/>
                <w:sz w:val="18"/>
                <w:szCs w:val="18"/>
                <w:color w:val="0000EE"/>
                <w:w w:val="99"/>
              </w:rPr>
              <w:t>12</w:t>
            </w:r>
          </w:p>
        </w:tc>
        <w:tc>
          <w:tcPr>
            <w:tcW w:w="240" w:type="dxa"/>
            <w:vAlign w:val="bottom"/>
          </w:tcPr>
          <w:p>
            <w:pPr>
              <w:spacing w:after="0"/>
              <w:rPr>
                <w:sz w:val="15"/>
                <w:szCs w:val="15"/>
                <w:color w:val="auto"/>
              </w:rPr>
            </w:pPr>
          </w:p>
        </w:tc>
      </w:tr>
      <w:tr>
        <w:trPr>
          <w:trHeight w:val="21"/>
        </w:trPr>
        <w:tc>
          <w:tcPr>
            <w:tcW w:w="2340" w:type="dxa"/>
            <w:vAlign w:val="bottom"/>
            <w:tcBorders>
              <w:top w:val="single" w:sz="8" w:color="0000EE"/>
            </w:tcBorders>
            <w:gridSpan w:val="14"/>
          </w:tcPr>
          <w:p>
            <w:pPr>
              <w:spacing w:after="0" w:line="20" w:lineRule="exact"/>
              <w:rPr>
                <w:sz w:val="1"/>
                <w:szCs w:val="1"/>
                <w:color w:val="auto"/>
              </w:rPr>
            </w:pPr>
          </w:p>
        </w:tc>
        <w:tc>
          <w:tcPr>
            <w:tcW w:w="8480" w:type="dxa"/>
            <w:vAlign w:val="bottom"/>
            <w:gridSpan w:val="37"/>
          </w:tcPr>
          <w:p>
            <w:pPr>
              <w:spacing w:after="0" w:line="20" w:lineRule="exact"/>
              <w:rPr>
                <w:sz w:val="1"/>
                <w:szCs w:val="1"/>
                <w:color w:val="auto"/>
              </w:rPr>
            </w:pPr>
          </w:p>
        </w:tc>
        <w:tc>
          <w:tcPr>
            <w:tcW w:w="180" w:type="dxa"/>
            <w:vAlign w:val="bottom"/>
            <w:tcBorders>
              <w:top w:val="single" w:sz="8" w:color="0000EE"/>
            </w:tcBorders>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0000EE"/>
            </w:tcBorders>
            <w:gridSpan w:val="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8"/>
              </w:rPr>
              <w:t>Director Independence</w:t>
            </w:r>
          </w:p>
        </w:tc>
        <w:tc>
          <w:tcPr>
            <w:tcW w:w="8780" w:type="dxa"/>
            <w:vAlign w:val="bottom"/>
            <w:tcBorders>
              <w:bottom w:val="single" w:sz="8" w:color="CCEEFF"/>
            </w:tcBorders>
            <w:gridSpan w:val="40"/>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4"/>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0000EE"/>
                <w:w w:val="99"/>
              </w:rPr>
              <w:t>12</w:t>
            </w:r>
          </w:p>
        </w:tc>
        <w:tc>
          <w:tcPr>
            <w:tcW w:w="240" w:type="dxa"/>
            <w:vAlign w:val="bottom"/>
            <w:tcBorders>
              <w:bottom w:val="single" w:sz="8" w:color="CCEEFF"/>
            </w:tcBorders>
            <w:shd w:val="clear" w:color="auto" w:fill="CCEEFF"/>
          </w:tcPr>
          <w:p>
            <w:pPr>
              <w:spacing w:after="0"/>
              <w:rPr>
                <w:sz w:val="17"/>
                <w:szCs w:val="17"/>
                <w:color w:val="auto"/>
              </w:rPr>
            </w:pPr>
          </w:p>
        </w:tc>
      </w:tr>
      <w:tr>
        <w:trPr>
          <w:trHeight w:val="176"/>
        </w:trPr>
        <w:tc>
          <w:tcPr>
            <w:tcW w:w="160" w:type="dxa"/>
            <w:vAlign w:val="bottom"/>
          </w:tcPr>
          <w:p>
            <w:pPr>
              <w:spacing w:after="0"/>
              <w:rPr>
                <w:sz w:val="15"/>
                <w:szCs w:val="15"/>
                <w:color w:val="auto"/>
              </w:rPr>
            </w:pPr>
          </w:p>
        </w:tc>
        <w:tc>
          <w:tcPr>
            <w:tcW w:w="10440" w:type="dxa"/>
            <w:vAlign w:val="bottom"/>
            <w:gridSpan w:val="49"/>
          </w:tcPr>
          <w:p>
            <w:pPr>
              <w:ind w:left="20"/>
              <w:spacing w:after="0" w:line="176" w:lineRule="exact"/>
              <w:rPr>
                <w:sz w:val="20"/>
                <w:szCs w:val="20"/>
                <w:color w:val="auto"/>
              </w:rPr>
            </w:pPr>
            <w:r>
              <w:rPr>
                <w:rFonts w:ascii="Times New Roman" w:cs="Times New Roman" w:eastAsia="Times New Roman" w:hAnsi="Times New Roman"/>
                <w:sz w:val="18"/>
                <w:szCs w:val="18"/>
                <w:color w:val="0000EE"/>
              </w:rPr>
              <w:t>Board Leadership Structure</w:t>
            </w:r>
          </w:p>
        </w:tc>
        <w:tc>
          <w:tcPr>
            <w:tcW w:w="400" w:type="dxa"/>
            <w:vAlign w:val="bottom"/>
            <w:gridSpan w:val="5"/>
          </w:tcPr>
          <w:p>
            <w:pPr>
              <w:jc w:val="center"/>
              <w:ind w:left="130"/>
              <w:spacing w:after="0" w:line="176" w:lineRule="exact"/>
              <w:rPr>
                <w:sz w:val="20"/>
                <w:szCs w:val="20"/>
                <w:color w:val="auto"/>
              </w:rPr>
            </w:pPr>
            <w:r>
              <w:rPr>
                <w:rFonts w:ascii="Times New Roman" w:cs="Times New Roman" w:eastAsia="Times New Roman" w:hAnsi="Times New Roman"/>
                <w:sz w:val="18"/>
                <w:szCs w:val="18"/>
                <w:color w:val="0000EE"/>
                <w:w w:val="99"/>
              </w:rPr>
              <w:t>12</w:t>
            </w:r>
          </w:p>
        </w:tc>
        <w:tc>
          <w:tcPr>
            <w:tcW w:w="240" w:type="dxa"/>
            <w:vAlign w:val="bottom"/>
          </w:tcPr>
          <w:p>
            <w:pPr>
              <w:spacing w:after="0"/>
              <w:rPr>
                <w:sz w:val="15"/>
                <w:szCs w:val="15"/>
                <w:color w:val="auto"/>
              </w:rPr>
            </w:pPr>
          </w:p>
        </w:tc>
      </w:tr>
      <w:tr>
        <w:trPr>
          <w:trHeight w:val="20"/>
        </w:trPr>
        <w:tc>
          <w:tcPr>
            <w:tcW w:w="160" w:type="dxa"/>
            <w:vAlign w:val="bottom"/>
          </w:tcPr>
          <w:p>
            <w:pPr>
              <w:spacing w:after="0" w:line="20" w:lineRule="exact"/>
              <w:rPr>
                <w:sz w:val="1"/>
                <w:szCs w:val="1"/>
                <w:color w:val="auto"/>
              </w:rPr>
            </w:pPr>
          </w:p>
        </w:tc>
        <w:tc>
          <w:tcPr>
            <w:tcW w:w="2000" w:type="dxa"/>
            <w:vAlign w:val="bottom"/>
            <w:tcBorders>
              <w:top w:val="single" w:sz="8" w:color="0000EE"/>
            </w:tcBorders>
            <w:gridSpan w:val="11"/>
          </w:tcPr>
          <w:p>
            <w:pPr>
              <w:spacing w:after="0" w:line="20" w:lineRule="exact"/>
              <w:rPr>
                <w:sz w:val="1"/>
                <w:szCs w:val="1"/>
                <w:color w:val="auto"/>
              </w:rPr>
            </w:pPr>
          </w:p>
        </w:tc>
        <w:tc>
          <w:tcPr>
            <w:tcW w:w="8660" w:type="dxa"/>
            <w:vAlign w:val="bottom"/>
            <w:gridSpan w:val="39"/>
          </w:tcPr>
          <w:p>
            <w:pPr>
              <w:spacing w:after="0" w:line="20" w:lineRule="exact"/>
              <w:rPr>
                <w:sz w:val="1"/>
                <w:szCs w:val="1"/>
                <w:color w:val="auto"/>
              </w:rPr>
            </w:pPr>
          </w:p>
        </w:tc>
        <w:tc>
          <w:tcPr>
            <w:tcW w:w="180" w:type="dxa"/>
            <w:vAlign w:val="bottom"/>
            <w:tcBorders>
              <w:top w:val="single" w:sz="8" w:color="0000EE"/>
            </w:tcBorders>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10440" w:type="dxa"/>
            <w:vAlign w:val="bottom"/>
            <w:gridSpan w:val="4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Board of Directors’ Role in Risk Oversight</w:t>
            </w:r>
          </w:p>
        </w:tc>
        <w:tc>
          <w:tcPr>
            <w:tcW w:w="400" w:type="dxa"/>
            <w:vAlign w:val="bottom"/>
            <w:gridSpan w:val="5"/>
            <w:shd w:val="clear" w:color="auto" w:fill="CCEEFF"/>
          </w:tcPr>
          <w:p>
            <w:pPr>
              <w:jc w:val="center"/>
              <w:ind w:left="130"/>
              <w:spacing w:after="0" w:line="176" w:lineRule="exact"/>
              <w:rPr>
                <w:sz w:val="20"/>
                <w:szCs w:val="20"/>
                <w:color w:val="auto"/>
              </w:rPr>
            </w:pPr>
            <w:r>
              <w:rPr>
                <w:rFonts w:ascii="Times New Roman" w:cs="Times New Roman" w:eastAsia="Times New Roman" w:hAnsi="Times New Roman"/>
                <w:sz w:val="18"/>
                <w:szCs w:val="18"/>
                <w:color w:val="0000EE"/>
                <w:w w:val="99"/>
              </w:rPr>
              <w:t>13</w:t>
            </w:r>
          </w:p>
        </w:tc>
        <w:tc>
          <w:tcPr>
            <w:tcW w:w="240" w:type="dxa"/>
            <w:vAlign w:val="bottom"/>
            <w:shd w:val="clear" w:color="auto" w:fill="CCEEFF"/>
          </w:tcPr>
          <w:p>
            <w:pPr>
              <w:spacing w:after="0"/>
              <w:rPr>
                <w:sz w:val="17"/>
                <w:szCs w:val="17"/>
                <w:color w:val="auto"/>
              </w:rPr>
            </w:pPr>
          </w:p>
        </w:tc>
      </w:tr>
      <w:tr>
        <w:trPr>
          <w:trHeight w:val="176"/>
        </w:trPr>
        <w:tc>
          <w:tcPr>
            <w:tcW w:w="160" w:type="dxa"/>
            <w:vAlign w:val="bottom"/>
            <w:tcBorders>
              <w:top w:val="single" w:sz="8" w:color="CCEEFF"/>
            </w:tcBorders>
          </w:tcPr>
          <w:p>
            <w:pPr>
              <w:spacing w:after="0"/>
              <w:rPr>
                <w:sz w:val="15"/>
                <w:szCs w:val="15"/>
                <w:color w:val="auto"/>
              </w:rPr>
            </w:pPr>
          </w:p>
        </w:tc>
        <w:tc>
          <w:tcPr>
            <w:tcW w:w="3100" w:type="dxa"/>
            <w:vAlign w:val="bottom"/>
            <w:tcBorders>
              <w:top w:val="single" w:sz="8" w:color="0000EE"/>
            </w:tcBorders>
            <w:gridSpan w:val="28"/>
          </w:tcPr>
          <w:p>
            <w:pPr>
              <w:ind w:left="20"/>
              <w:spacing w:after="0" w:line="176" w:lineRule="exact"/>
              <w:rPr>
                <w:sz w:val="20"/>
                <w:szCs w:val="20"/>
                <w:color w:val="auto"/>
              </w:rPr>
            </w:pPr>
            <w:r>
              <w:rPr>
                <w:rFonts w:ascii="Times New Roman" w:cs="Times New Roman" w:eastAsia="Times New Roman" w:hAnsi="Times New Roman"/>
                <w:sz w:val="18"/>
                <w:szCs w:val="18"/>
                <w:color w:val="0000EE"/>
              </w:rPr>
              <w:t>Committees of the Board of Directors</w:t>
            </w:r>
          </w:p>
        </w:tc>
        <w:tc>
          <w:tcPr>
            <w:tcW w:w="7340" w:type="dxa"/>
            <w:vAlign w:val="bottom"/>
            <w:tcBorders>
              <w:top w:val="single" w:sz="8" w:color="CCEEFF"/>
            </w:tcBorders>
            <w:gridSpan w:val="21"/>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80" w:type="dxa"/>
            <w:vAlign w:val="bottom"/>
            <w:tcBorders>
              <w:top w:val="single" w:sz="8" w:color="0000EE"/>
            </w:tcBorders>
            <w:gridSpan w:val="4"/>
          </w:tcPr>
          <w:p>
            <w:pPr>
              <w:jc w:val="center"/>
              <w:spacing w:after="0" w:line="176" w:lineRule="exact"/>
              <w:rPr>
                <w:sz w:val="20"/>
                <w:szCs w:val="20"/>
                <w:color w:val="auto"/>
              </w:rPr>
            </w:pPr>
            <w:r>
              <w:rPr>
                <w:rFonts w:ascii="Times New Roman" w:cs="Times New Roman" w:eastAsia="Times New Roman" w:hAnsi="Times New Roman"/>
                <w:sz w:val="18"/>
                <w:szCs w:val="18"/>
                <w:color w:val="0000EE"/>
                <w:w w:val="99"/>
              </w:rPr>
              <w:t>13</w:t>
            </w:r>
          </w:p>
        </w:tc>
        <w:tc>
          <w:tcPr>
            <w:tcW w:w="240" w:type="dxa"/>
            <w:vAlign w:val="bottom"/>
            <w:tcBorders>
              <w:top w:val="single" w:sz="8" w:color="CCEEFF"/>
            </w:tcBorders>
          </w:tcPr>
          <w:p>
            <w:pPr>
              <w:spacing w:after="0"/>
              <w:rPr>
                <w:sz w:val="15"/>
                <w:szCs w:val="15"/>
                <w:color w:val="auto"/>
              </w:rPr>
            </w:pPr>
          </w:p>
        </w:tc>
      </w:tr>
      <w:tr>
        <w:trPr>
          <w:trHeight w:val="20"/>
        </w:trPr>
        <w:tc>
          <w:tcPr>
            <w:tcW w:w="160" w:type="dxa"/>
            <w:vAlign w:val="bottom"/>
          </w:tcPr>
          <w:p>
            <w:pPr>
              <w:spacing w:after="0" w:line="20" w:lineRule="exact"/>
              <w:rPr>
                <w:sz w:val="1"/>
                <w:szCs w:val="1"/>
                <w:color w:val="auto"/>
              </w:rPr>
            </w:pPr>
          </w:p>
        </w:tc>
        <w:tc>
          <w:tcPr>
            <w:tcW w:w="2740" w:type="dxa"/>
            <w:vAlign w:val="bottom"/>
            <w:tcBorders>
              <w:top w:val="single" w:sz="8" w:color="0000EE"/>
            </w:tcBorders>
            <w:gridSpan w:val="21"/>
          </w:tcPr>
          <w:p>
            <w:pPr>
              <w:spacing w:after="0" w:line="20" w:lineRule="exact"/>
              <w:rPr>
                <w:sz w:val="1"/>
                <w:szCs w:val="1"/>
                <w:color w:val="auto"/>
              </w:rPr>
            </w:pPr>
          </w:p>
        </w:tc>
        <w:tc>
          <w:tcPr>
            <w:tcW w:w="7920" w:type="dxa"/>
            <w:vAlign w:val="bottom"/>
            <w:gridSpan w:val="29"/>
          </w:tcPr>
          <w:p>
            <w:pPr>
              <w:spacing w:after="0" w:line="20" w:lineRule="exact"/>
              <w:rPr>
                <w:sz w:val="1"/>
                <w:szCs w:val="1"/>
                <w:color w:val="auto"/>
              </w:rPr>
            </w:pPr>
          </w:p>
        </w:tc>
        <w:tc>
          <w:tcPr>
            <w:tcW w:w="180" w:type="dxa"/>
            <w:vAlign w:val="bottom"/>
            <w:tcBorders>
              <w:top w:val="single" w:sz="8" w:color="0000EE"/>
            </w:tcBorders>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3200" w:type="dxa"/>
            <w:vAlign w:val="bottom"/>
            <w:tcBorders>
              <w:bottom w:val="single" w:sz="8" w:color="0000EE"/>
            </w:tcBorders>
            <w:gridSpan w:val="30"/>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9"/>
              </w:rPr>
              <w:t>Communication with the Board of Directors</w:t>
            </w:r>
          </w:p>
        </w:tc>
        <w:tc>
          <w:tcPr>
            <w:tcW w:w="7240" w:type="dxa"/>
            <w:vAlign w:val="bottom"/>
            <w:tcBorders>
              <w:bottom w:val="single" w:sz="8" w:color="CCEEFF"/>
            </w:tcBorders>
            <w:gridSpan w:val="19"/>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4"/>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0000EE"/>
                <w:w w:val="99"/>
              </w:rPr>
              <w:t>16</w:t>
            </w:r>
          </w:p>
        </w:tc>
        <w:tc>
          <w:tcPr>
            <w:tcW w:w="240" w:type="dxa"/>
            <w:vAlign w:val="bottom"/>
            <w:tcBorders>
              <w:bottom w:val="single" w:sz="8" w:color="CCEEFF"/>
            </w:tcBorders>
            <w:shd w:val="clear" w:color="auto" w:fill="CCEEFF"/>
          </w:tcPr>
          <w:p>
            <w:pPr>
              <w:spacing w:after="0"/>
              <w:rPr>
                <w:sz w:val="17"/>
                <w:szCs w:val="17"/>
                <w:color w:val="auto"/>
              </w:rPr>
            </w:pPr>
          </w:p>
        </w:tc>
      </w:tr>
      <w:tr>
        <w:trPr>
          <w:trHeight w:val="175"/>
        </w:trPr>
        <w:tc>
          <w:tcPr>
            <w:tcW w:w="160" w:type="dxa"/>
            <w:vAlign w:val="bottom"/>
          </w:tcPr>
          <w:p>
            <w:pPr>
              <w:spacing w:after="0"/>
              <w:rPr>
                <w:sz w:val="15"/>
                <w:szCs w:val="15"/>
                <w:color w:val="auto"/>
              </w:rPr>
            </w:pPr>
          </w:p>
        </w:tc>
        <w:tc>
          <w:tcPr>
            <w:tcW w:w="10440" w:type="dxa"/>
            <w:vAlign w:val="bottom"/>
            <w:gridSpan w:val="49"/>
          </w:tcPr>
          <w:p>
            <w:pPr>
              <w:ind w:left="20"/>
              <w:spacing w:after="0" w:line="176" w:lineRule="exact"/>
              <w:rPr>
                <w:sz w:val="20"/>
                <w:szCs w:val="20"/>
                <w:color w:val="auto"/>
              </w:rPr>
            </w:pPr>
            <w:r>
              <w:rPr>
                <w:rFonts w:ascii="Times New Roman" w:cs="Times New Roman" w:eastAsia="Times New Roman" w:hAnsi="Times New Roman"/>
                <w:sz w:val="18"/>
                <w:szCs w:val="18"/>
                <w:color w:val="0000EE"/>
              </w:rPr>
              <w:t>Hedging, Speculative Trading and Pledging of Securities</w:t>
            </w:r>
          </w:p>
        </w:tc>
        <w:tc>
          <w:tcPr>
            <w:tcW w:w="400" w:type="dxa"/>
            <w:vAlign w:val="bottom"/>
            <w:gridSpan w:val="5"/>
          </w:tcPr>
          <w:p>
            <w:pPr>
              <w:jc w:val="center"/>
              <w:ind w:left="130"/>
              <w:spacing w:after="0" w:line="176" w:lineRule="exact"/>
              <w:rPr>
                <w:sz w:val="20"/>
                <w:szCs w:val="20"/>
                <w:color w:val="auto"/>
              </w:rPr>
            </w:pPr>
            <w:r>
              <w:rPr>
                <w:rFonts w:ascii="Times New Roman" w:cs="Times New Roman" w:eastAsia="Times New Roman" w:hAnsi="Times New Roman"/>
                <w:sz w:val="18"/>
                <w:szCs w:val="18"/>
                <w:color w:val="0000EE"/>
                <w:w w:val="99"/>
              </w:rPr>
              <w:t>16</w:t>
            </w:r>
          </w:p>
        </w:tc>
        <w:tc>
          <w:tcPr>
            <w:tcW w:w="240" w:type="dxa"/>
            <w:vAlign w:val="bottom"/>
          </w:tcPr>
          <w:p>
            <w:pPr>
              <w:spacing w:after="0"/>
              <w:rPr>
                <w:sz w:val="15"/>
                <w:szCs w:val="15"/>
                <w:color w:val="auto"/>
              </w:rPr>
            </w:pPr>
          </w:p>
        </w:tc>
      </w:tr>
      <w:tr>
        <w:trPr>
          <w:trHeight w:val="20"/>
        </w:trPr>
        <w:tc>
          <w:tcPr>
            <w:tcW w:w="160" w:type="dxa"/>
            <w:vAlign w:val="bottom"/>
          </w:tcPr>
          <w:p>
            <w:pPr>
              <w:spacing w:after="0" w:line="20" w:lineRule="exact"/>
              <w:rPr>
                <w:sz w:val="1"/>
                <w:szCs w:val="1"/>
                <w:color w:val="auto"/>
              </w:rPr>
            </w:pPr>
          </w:p>
        </w:tc>
        <w:tc>
          <w:tcPr>
            <w:tcW w:w="4100" w:type="dxa"/>
            <w:vAlign w:val="bottom"/>
            <w:tcBorders>
              <w:top w:val="single" w:sz="8" w:color="0000EE"/>
            </w:tcBorders>
            <w:gridSpan w:val="37"/>
          </w:tcPr>
          <w:p>
            <w:pPr>
              <w:spacing w:after="0" w:line="20" w:lineRule="exact"/>
              <w:rPr>
                <w:sz w:val="1"/>
                <w:szCs w:val="1"/>
                <w:color w:val="auto"/>
              </w:rPr>
            </w:pPr>
          </w:p>
        </w:tc>
        <w:tc>
          <w:tcPr>
            <w:tcW w:w="6560" w:type="dxa"/>
            <w:vAlign w:val="bottom"/>
            <w:gridSpan w:val="13"/>
          </w:tcPr>
          <w:p>
            <w:pPr>
              <w:spacing w:after="0" w:line="20" w:lineRule="exact"/>
              <w:rPr>
                <w:sz w:val="1"/>
                <w:szCs w:val="1"/>
                <w:color w:val="auto"/>
              </w:rPr>
            </w:pPr>
          </w:p>
        </w:tc>
        <w:tc>
          <w:tcPr>
            <w:tcW w:w="180" w:type="dxa"/>
            <w:vAlign w:val="bottom"/>
            <w:tcBorders>
              <w:top w:val="single" w:sz="8" w:color="0000EE"/>
            </w:tcBorders>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75"/>
        </w:trPr>
        <w:tc>
          <w:tcPr>
            <w:tcW w:w="160" w:type="dxa"/>
            <w:vAlign w:val="bottom"/>
            <w:shd w:val="clear" w:color="auto" w:fill="CCEEFF"/>
          </w:tcPr>
          <w:p>
            <w:pPr>
              <w:spacing w:after="0"/>
              <w:rPr>
                <w:sz w:val="15"/>
                <w:szCs w:val="15"/>
                <w:color w:val="auto"/>
              </w:rPr>
            </w:pPr>
          </w:p>
        </w:tc>
        <w:tc>
          <w:tcPr>
            <w:tcW w:w="10440" w:type="dxa"/>
            <w:vAlign w:val="bottom"/>
            <w:gridSpan w:val="4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Code of Business Conduct and Ethics</w:t>
            </w:r>
          </w:p>
        </w:tc>
        <w:tc>
          <w:tcPr>
            <w:tcW w:w="400" w:type="dxa"/>
            <w:vAlign w:val="bottom"/>
            <w:gridSpan w:val="5"/>
            <w:shd w:val="clear" w:color="auto" w:fill="CCEEFF"/>
          </w:tcPr>
          <w:p>
            <w:pPr>
              <w:jc w:val="center"/>
              <w:ind w:left="130"/>
              <w:spacing w:after="0" w:line="176" w:lineRule="exact"/>
              <w:rPr>
                <w:sz w:val="20"/>
                <w:szCs w:val="20"/>
                <w:color w:val="auto"/>
              </w:rPr>
            </w:pPr>
            <w:r>
              <w:rPr>
                <w:rFonts w:ascii="Times New Roman" w:cs="Times New Roman" w:eastAsia="Times New Roman" w:hAnsi="Times New Roman"/>
                <w:sz w:val="18"/>
                <w:szCs w:val="18"/>
                <w:color w:val="0000EE"/>
                <w:w w:val="99"/>
              </w:rPr>
              <w:t>16</w:t>
            </w:r>
          </w:p>
        </w:tc>
        <w:tc>
          <w:tcPr>
            <w:tcW w:w="240" w:type="dxa"/>
            <w:vAlign w:val="bottom"/>
            <w:shd w:val="clear" w:color="auto" w:fill="CCEEFF"/>
          </w:tcPr>
          <w:p>
            <w:pPr>
              <w:spacing w:after="0"/>
              <w:rPr>
                <w:sz w:val="15"/>
                <w:szCs w:val="15"/>
                <w:color w:val="auto"/>
              </w:rPr>
            </w:pPr>
          </w:p>
        </w:tc>
      </w:tr>
      <w:tr>
        <w:trPr>
          <w:trHeight w:val="20"/>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2720" w:type="dxa"/>
            <w:vAlign w:val="bottom"/>
            <w:tcBorders>
              <w:top w:val="single" w:sz="8" w:color="0000EE"/>
            </w:tcBorders>
            <w:gridSpan w:val="20"/>
            <w:shd w:val="clear" w:color="auto" w:fill="CCEEFF"/>
          </w:tcPr>
          <w:p>
            <w:pPr>
              <w:spacing w:after="0" w:line="20" w:lineRule="exact"/>
              <w:rPr>
                <w:sz w:val="1"/>
                <w:szCs w:val="1"/>
                <w:color w:val="auto"/>
              </w:rPr>
            </w:pPr>
          </w:p>
        </w:tc>
        <w:tc>
          <w:tcPr>
            <w:tcW w:w="7940" w:type="dxa"/>
            <w:vAlign w:val="bottom"/>
            <w:tcBorders>
              <w:top w:val="single" w:sz="8" w:color="CCEEFF"/>
            </w:tcBorders>
            <w:gridSpan w:val="30"/>
            <w:shd w:val="clear" w:color="auto" w:fill="CCEEFF"/>
          </w:tcPr>
          <w:p>
            <w:pPr>
              <w:spacing w:after="0" w:line="20" w:lineRule="exact"/>
              <w:rPr>
                <w:sz w:val="1"/>
                <w:szCs w:val="1"/>
                <w:color w:val="auto"/>
              </w:rPr>
            </w:pPr>
          </w:p>
        </w:tc>
        <w:tc>
          <w:tcPr>
            <w:tcW w:w="180" w:type="dxa"/>
            <w:vAlign w:val="bottom"/>
            <w:tcBorders>
              <w:top w:val="single" w:sz="8" w:color="0000EE"/>
            </w:tcBorders>
            <w:gridSpan w:val="4"/>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600" w:type="dxa"/>
            <w:vAlign w:val="bottom"/>
            <w:gridSpan w:val="50"/>
          </w:tcPr>
          <w:p>
            <w:pPr>
              <w:spacing w:after="0" w:line="176" w:lineRule="exact"/>
              <w:rPr>
                <w:sz w:val="20"/>
                <w:szCs w:val="20"/>
                <w:color w:val="auto"/>
              </w:rPr>
            </w:pPr>
            <w:r>
              <w:rPr>
                <w:rFonts w:ascii="Times New Roman" w:cs="Times New Roman" w:eastAsia="Times New Roman" w:hAnsi="Times New Roman"/>
                <w:sz w:val="18"/>
                <w:szCs w:val="18"/>
                <w:color w:val="0000EE"/>
              </w:rPr>
              <w:t>COMPENSATION OF DIRECTORS</w:t>
            </w:r>
          </w:p>
        </w:tc>
        <w:tc>
          <w:tcPr>
            <w:tcW w:w="400" w:type="dxa"/>
            <w:vAlign w:val="bottom"/>
            <w:gridSpan w:val="5"/>
          </w:tcPr>
          <w:p>
            <w:pPr>
              <w:jc w:val="center"/>
              <w:ind w:left="130"/>
              <w:spacing w:after="0" w:line="176" w:lineRule="exact"/>
              <w:rPr>
                <w:sz w:val="20"/>
                <w:szCs w:val="20"/>
                <w:color w:val="auto"/>
              </w:rPr>
            </w:pPr>
            <w:r>
              <w:rPr>
                <w:rFonts w:ascii="Times New Roman" w:cs="Times New Roman" w:eastAsia="Times New Roman" w:hAnsi="Times New Roman"/>
                <w:sz w:val="18"/>
                <w:szCs w:val="18"/>
                <w:color w:val="0000EE"/>
                <w:w w:val="99"/>
              </w:rPr>
              <w:t>17</w:t>
            </w:r>
          </w:p>
        </w:tc>
        <w:tc>
          <w:tcPr>
            <w:tcW w:w="240" w:type="dxa"/>
            <w:vAlign w:val="bottom"/>
          </w:tcPr>
          <w:p>
            <w:pPr>
              <w:spacing w:after="0"/>
              <w:rPr>
                <w:sz w:val="15"/>
                <w:szCs w:val="15"/>
                <w:color w:val="auto"/>
              </w:rPr>
            </w:pPr>
          </w:p>
        </w:tc>
      </w:tr>
      <w:tr>
        <w:trPr>
          <w:trHeight w:val="21"/>
        </w:trPr>
        <w:tc>
          <w:tcPr>
            <w:tcW w:w="2720" w:type="dxa"/>
            <w:vAlign w:val="bottom"/>
            <w:tcBorders>
              <w:top w:val="single" w:sz="8" w:color="0000EE"/>
            </w:tcBorders>
            <w:gridSpan w:val="19"/>
          </w:tcPr>
          <w:p>
            <w:pPr>
              <w:spacing w:after="0" w:line="20" w:lineRule="exact"/>
              <w:rPr>
                <w:sz w:val="1"/>
                <w:szCs w:val="1"/>
                <w:color w:val="auto"/>
              </w:rPr>
            </w:pPr>
          </w:p>
        </w:tc>
        <w:tc>
          <w:tcPr>
            <w:tcW w:w="8100" w:type="dxa"/>
            <w:vAlign w:val="bottom"/>
            <w:gridSpan w:val="32"/>
          </w:tcPr>
          <w:p>
            <w:pPr>
              <w:spacing w:after="0" w:line="20" w:lineRule="exact"/>
              <w:rPr>
                <w:sz w:val="1"/>
                <w:szCs w:val="1"/>
                <w:color w:val="auto"/>
              </w:rPr>
            </w:pPr>
          </w:p>
        </w:tc>
        <w:tc>
          <w:tcPr>
            <w:tcW w:w="180" w:type="dxa"/>
            <w:vAlign w:val="bottom"/>
            <w:tcBorders>
              <w:top w:val="single" w:sz="8" w:color="0000EE"/>
            </w:tcBorders>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3860" w:type="dxa"/>
            <w:vAlign w:val="bottom"/>
            <w:tcBorders>
              <w:bottom w:val="single" w:sz="8" w:color="0000EE"/>
            </w:tcBorders>
            <w:gridSpan w:val="3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COMPENSATION DISCUSSION AND ANALYSIS</w:t>
            </w:r>
          </w:p>
        </w:tc>
        <w:tc>
          <w:tcPr>
            <w:tcW w:w="6740" w:type="dxa"/>
            <w:vAlign w:val="bottom"/>
            <w:tcBorders>
              <w:bottom w:val="single" w:sz="8" w:color="CCEEFF"/>
            </w:tcBorders>
            <w:gridSpan w:val="15"/>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4"/>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0000EE"/>
                <w:w w:val="99"/>
              </w:rPr>
              <w:t>18</w:t>
            </w:r>
          </w:p>
        </w:tc>
        <w:tc>
          <w:tcPr>
            <w:tcW w:w="240" w:type="dxa"/>
            <w:vAlign w:val="bottom"/>
            <w:tcBorders>
              <w:bottom w:val="single" w:sz="8" w:color="CCEEFF"/>
            </w:tcBorders>
            <w:shd w:val="clear" w:color="auto" w:fill="CCEEFF"/>
          </w:tcPr>
          <w:p>
            <w:pPr>
              <w:spacing w:after="0"/>
              <w:rPr>
                <w:sz w:val="17"/>
                <w:szCs w:val="17"/>
                <w:color w:val="auto"/>
              </w:rPr>
            </w:pPr>
          </w:p>
        </w:tc>
      </w:tr>
      <w:tr>
        <w:trPr>
          <w:trHeight w:val="175"/>
        </w:trPr>
        <w:tc>
          <w:tcPr>
            <w:tcW w:w="160" w:type="dxa"/>
            <w:vAlign w:val="bottom"/>
          </w:tcPr>
          <w:p>
            <w:pPr>
              <w:spacing w:after="0"/>
              <w:rPr>
                <w:sz w:val="15"/>
                <w:szCs w:val="15"/>
                <w:color w:val="auto"/>
              </w:rPr>
            </w:pPr>
          </w:p>
        </w:tc>
        <w:tc>
          <w:tcPr>
            <w:tcW w:w="10440" w:type="dxa"/>
            <w:vAlign w:val="bottom"/>
            <w:gridSpan w:val="49"/>
          </w:tcPr>
          <w:p>
            <w:pPr>
              <w:ind w:left="20"/>
              <w:spacing w:after="0" w:line="176" w:lineRule="exact"/>
              <w:rPr>
                <w:sz w:val="20"/>
                <w:szCs w:val="20"/>
                <w:color w:val="auto"/>
              </w:rPr>
            </w:pPr>
            <w:r>
              <w:rPr>
                <w:rFonts w:ascii="Times New Roman" w:cs="Times New Roman" w:eastAsia="Times New Roman" w:hAnsi="Times New Roman"/>
                <w:sz w:val="18"/>
                <w:szCs w:val="18"/>
                <w:color w:val="0000EE"/>
              </w:rPr>
              <w:t>Compensation Philosophy and Objectives</w:t>
            </w:r>
          </w:p>
        </w:tc>
        <w:tc>
          <w:tcPr>
            <w:tcW w:w="400" w:type="dxa"/>
            <w:vAlign w:val="bottom"/>
            <w:gridSpan w:val="5"/>
          </w:tcPr>
          <w:p>
            <w:pPr>
              <w:jc w:val="center"/>
              <w:ind w:left="130"/>
              <w:spacing w:after="0" w:line="176" w:lineRule="exact"/>
              <w:rPr>
                <w:sz w:val="20"/>
                <w:szCs w:val="20"/>
                <w:color w:val="auto"/>
              </w:rPr>
            </w:pPr>
            <w:r>
              <w:rPr>
                <w:rFonts w:ascii="Times New Roman" w:cs="Times New Roman" w:eastAsia="Times New Roman" w:hAnsi="Times New Roman"/>
                <w:sz w:val="18"/>
                <w:szCs w:val="18"/>
                <w:color w:val="0000EE"/>
                <w:w w:val="99"/>
              </w:rPr>
              <w:t>18</w:t>
            </w:r>
          </w:p>
        </w:tc>
        <w:tc>
          <w:tcPr>
            <w:tcW w:w="240" w:type="dxa"/>
            <w:vAlign w:val="bottom"/>
          </w:tcPr>
          <w:p>
            <w:pPr>
              <w:spacing w:after="0"/>
              <w:rPr>
                <w:sz w:val="15"/>
                <w:szCs w:val="15"/>
                <w:color w:val="auto"/>
              </w:rPr>
            </w:pPr>
          </w:p>
        </w:tc>
      </w:tr>
      <w:tr>
        <w:trPr>
          <w:trHeight w:val="20"/>
        </w:trPr>
        <w:tc>
          <w:tcPr>
            <w:tcW w:w="160" w:type="dxa"/>
            <w:vAlign w:val="bottom"/>
          </w:tcPr>
          <w:p>
            <w:pPr>
              <w:spacing w:after="0" w:line="20" w:lineRule="exact"/>
              <w:rPr>
                <w:sz w:val="1"/>
                <w:szCs w:val="1"/>
                <w:color w:val="auto"/>
              </w:rPr>
            </w:pPr>
          </w:p>
        </w:tc>
        <w:tc>
          <w:tcPr>
            <w:tcW w:w="3020" w:type="dxa"/>
            <w:vAlign w:val="bottom"/>
            <w:tcBorders>
              <w:top w:val="single" w:sz="8" w:color="0000EE"/>
            </w:tcBorders>
            <w:gridSpan w:val="26"/>
          </w:tcPr>
          <w:p>
            <w:pPr>
              <w:spacing w:after="0" w:line="20" w:lineRule="exact"/>
              <w:rPr>
                <w:sz w:val="1"/>
                <w:szCs w:val="1"/>
                <w:color w:val="auto"/>
              </w:rPr>
            </w:pPr>
          </w:p>
        </w:tc>
        <w:tc>
          <w:tcPr>
            <w:tcW w:w="7640" w:type="dxa"/>
            <w:vAlign w:val="bottom"/>
            <w:gridSpan w:val="24"/>
          </w:tcPr>
          <w:p>
            <w:pPr>
              <w:spacing w:after="0" w:line="20" w:lineRule="exact"/>
              <w:rPr>
                <w:sz w:val="1"/>
                <w:szCs w:val="1"/>
                <w:color w:val="auto"/>
              </w:rPr>
            </w:pPr>
          </w:p>
        </w:tc>
        <w:tc>
          <w:tcPr>
            <w:tcW w:w="180" w:type="dxa"/>
            <w:vAlign w:val="bottom"/>
            <w:tcBorders>
              <w:top w:val="single" w:sz="8" w:color="0000EE"/>
            </w:tcBorders>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10440" w:type="dxa"/>
            <w:vAlign w:val="bottom"/>
            <w:gridSpan w:val="4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Independent Compensation Consultant</w:t>
            </w:r>
          </w:p>
        </w:tc>
        <w:tc>
          <w:tcPr>
            <w:tcW w:w="400" w:type="dxa"/>
            <w:vAlign w:val="bottom"/>
            <w:gridSpan w:val="5"/>
            <w:shd w:val="clear" w:color="auto" w:fill="CCEEFF"/>
          </w:tcPr>
          <w:p>
            <w:pPr>
              <w:jc w:val="center"/>
              <w:ind w:left="130"/>
              <w:spacing w:after="0" w:line="176" w:lineRule="exact"/>
              <w:rPr>
                <w:sz w:val="20"/>
                <w:szCs w:val="20"/>
                <w:color w:val="auto"/>
              </w:rPr>
            </w:pPr>
            <w:r>
              <w:rPr>
                <w:rFonts w:ascii="Times New Roman" w:cs="Times New Roman" w:eastAsia="Times New Roman" w:hAnsi="Times New Roman"/>
                <w:sz w:val="18"/>
                <w:szCs w:val="18"/>
                <w:color w:val="0000EE"/>
                <w:w w:val="99"/>
              </w:rPr>
              <w:t>18</w:t>
            </w:r>
          </w:p>
        </w:tc>
        <w:tc>
          <w:tcPr>
            <w:tcW w:w="240" w:type="dxa"/>
            <w:vAlign w:val="bottom"/>
            <w:shd w:val="clear" w:color="auto" w:fill="CCEEFF"/>
          </w:tcPr>
          <w:p>
            <w:pPr>
              <w:spacing w:after="0"/>
              <w:rPr>
                <w:sz w:val="17"/>
                <w:szCs w:val="17"/>
                <w:color w:val="auto"/>
              </w:rPr>
            </w:pPr>
          </w:p>
        </w:tc>
      </w:tr>
      <w:tr>
        <w:trPr>
          <w:trHeight w:val="175"/>
        </w:trPr>
        <w:tc>
          <w:tcPr>
            <w:tcW w:w="160" w:type="dxa"/>
            <w:vAlign w:val="bottom"/>
            <w:tcBorders>
              <w:top w:val="single" w:sz="8" w:color="CCEEFF"/>
            </w:tcBorders>
          </w:tcPr>
          <w:p>
            <w:pPr>
              <w:spacing w:after="0"/>
              <w:rPr>
                <w:sz w:val="15"/>
                <w:szCs w:val="15"/>
                <w:color w:val="auto"/>
              </w:rPr>
            </w:pPr>
          </w:p>
        </w:tc>
        <w:tc>
          <w:tcPr>
            <w:tcW w:w="2800" w:type="dxa"/>
            <w:vAlign w:val="bottom"/>
            <w:tcBorders>
              <w:top w:val="single" w:sz="8" w:color="0000EE"/>
            </w:tcBorders>
            <w:gridSpan w:val="23"/>
          </w:tcPr>
          <w:p>
            <w:pPr>
              <w:ind w:left="20"/>
              <w:spacing w:after="0" w:line="176" w:lineRule="exact"/>
              <w:rPr>
                <w:sz w:val="20"/>
                <w:szCs w:val="20"/>
                <w:color w:val="auto"/>
              </w:rPr>
            </w:pPr>
            <w:r>
              <w:rPr>
                <w:rFonts w:ascii="Times New Roman" w:cs="Times New Roman" w:eastAsia="Times New Roman" w:hAnsi="Times New Roman"/>
                <w:sz w:val="18"/>
                <w:szCs w:val="18"/>
                <w:color w:val="0000EE"/>
              </w:rPr>
              <w:t>Assessment of Market Data</w:t>
            </w:r>
          </w:p>
        </w:tc>
        <w:tc>
          <w:tcPr>
            <w:tcW w:w="7640" w:type="dxa"/>
            <w:vAlign w:val="bottom"/>
            <w:tcBorders>
              <w:top w:val="single" w:sz="8" w:color="CCEEFF"/>
            </w:tcBorders>
            <w:gridSpan w:val="26"/>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80" w:type="dxa"/>
            <w:vAlign w:val="bottom"/>
            <w:tcBorders>
              <w:top w:val="single" w:sz="8" w:color="0000EE"/>
            </w:tcBorders>
            <w:gridSpan w:val="4"/>
          </w:tcPr>
          <w:p>
            <w:pPr>
              <w:jc w:val="center"/>
              <w:spacing w:after="0" w:line="176" w:lineRule="exact"/>
              <w:rPr>
                <w:sz w:val="20"/>
                <w:szCs w:val="20"/>
                <w:color w:val="auto"/>
              </w:rPr>
            </w:pPr>
            <w:r>
              <w:rPr>
                <w:rFonts w:ascii="Times New Roman" w:cs="Times New Roman" w:eastAsia="Times New Roman" w:hAnsi="Times New Roman"/>
                <w:sz w:val="18"/>
                <w:szCs w:val="18"/>
                <w:color w:val="0000EE"/>
                <w:w w:val="99"/>
              </w:rPr>
              <w:t>19</w:t>
            </w:r>
          </w:p>
        </w:tc>
        <w:tc>
          <w:tcPr>
            <w:tcW w:w="240" w:type="dxa"/>
            <w:vAlign w:val="bottom"/>
            <w:tcBorders>
              <w:top w:val="single" w:sz="8" w:color="CCEEFF"/>
            </w:tcBorders>
          </w:tcPr>
          <w:p>
            <w:pPr>
              <w:spacing w:after="0"/>
              <w:rPr>
                <w:sz w:val="15"/>
                <w:szCs w:val="15"/>
                <w:color w:val="auto"/>
              </w:rPr>
            </w:pPr>
          </w:p>
        </w:tc>
      </w:tr>
      <w:tr>
        <w:trPr>
          <w:trHeight w:val="20"/>
        </w:trPr>
        <w:tc>
          <w:tcPr>
            <w:tcW w:w="160" w:type="dxa"/>
            <w:vAlign w:val="bottom"/>
          </w:tcPr>
          <w:p>
            <w:pPr>
              <w:spacing w:after="0" w:line="20" w:lineRule="exact"/>
              <w:rPr>
                <w:sz w:val="1"/>
                <w:szCs w:val="1"/>
                <w:color w:val="auto"/>
              </w:rPr>
            </w:pPr>
          </w:p>
        </w:tc>
        <w:tc>
          <w:tcPr>
            <w:tcW w:w="2000" w:type="dxa"/>
            <w:vAlign w:val="bottom"/>
            <w:tcBorders>
              <w:top w:val="single" w:sz="8" w:color="0000EE"/>
            </w:tcBorders>
            <w:gridSpan w:val="11"/>
          </w:tcPr>
          <w:p>
            <w:pPr>
              <w:spacing w:after="0" w:line="20" w:lineRule="exact"/>
              <w:rPr>
                <w:sz w:val="1"/>
                <w:szCs w:val="1"/>
                <w:color w:val="auto"/>
              </w:rPr>
            </w:pPr>
          </w:p>
        </w:tc>
        <w:tc>
          <w:tcPr>
            <w:tcW w:w="8660" w:type="dxa"/>
            <w:vAlign w:val="bottom"/>
            <w:gridSpan w:val="39"/>
          </w:tcPr>
          <w:p>
            <w:pPr>
              <w:spacing w:after="0" w:line="20" w:lineRule="exact"/>
              <w:rPr>
                <w:sz w:val="1"/>
                <w:szCs w:val="1"/>
                <w:color w:val="auto"/>
              </w:rPr>
            </w:pPr>
          </w:p>
        </w:tc>
        <w:tc>
          <w:tcPr>
            <w:tcW w:w="180" w:type="dxa"/>
            <w:vAlign w:val="bottom"/>
            <w:tcBorders>
              <w:top w:val="single" w:sz="8" w:color="0000EE"/>
            </w:tcBorders>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75"/>
        </w:trPr>
        <w:tc>
          <w:tcPr>
            <w:tcW w:w="160" w:type="dxa"/>
            <w:vAlign w:val="bottom"/>
            <w:shd w:val="clear" w:color="auto" w:fill="CCEEFF"/>
          </w:tcPr>
          <w:p>
            <w:pPr>
              <w:spacing w:after="0"/>
              <w:rPr>
                <w:sz w:val="15"/>
                <w:szCs w:val="15"/>
                <w:color w:val="auto"/>
              </w:rPr>
            </w:pPr>
          </w:p>
        </w:tc>
        <w:tc>
          <w:tcPr>
            <w:tcW w:w="10440" w:type="dxa"/>
            <w:vAlign w:val="bottom"/>
            <w:gridSpan w:val="4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Assessment of Company Performance</w:t>
            </w:r>
          </w:p>
        </w:tc>
        <w:tc>
          <w:tcPr>
            <w:tcW w:w="400" w:type="dxa"/>
            <w:vAlign w:val="bottom"/>
            <w:gridSpan w:val="5"/>
            <w:shd w:val="clear" w:color="auto" w:fill="CCEEFF"/>
          </w:tcPr>
          <w:p>
            <w:pPr>
              <w:jc w:val="center"/>
              <w:ind w:left="130"/>
              <w:spacing w:after="0" w:line="176" w:lineRule="exact"/>
              <w:rPr>
                <w:sz w:val="20"/>
                <w:szCs w:val="20"/>
                <w:color w:val="auto"/>
              </w:rPr>
            </w:pPr>
            <w:r>
              <w:rPr>
                <w:rFonts w:ascii="Times New Roman" w:cs="Times New Roman" w:eastAsia="Times New Roman" w:hAnsi="Times New Roman"/>
                <w:sz w:val="18"/>
                <w:szCs w:val="18"/>
                <w:color w:val="0000EE"/>
                <w:w w:val="99"/>
              </w:rPr>
              <w:t>19</w:t>
            </w:r>
          </w:p>
        </w:tc>
        <w:tc>
          <w:tcPr>
            <w:tcW w:w="240" w:type="dxa"/>
            <w:vAlign w:val="bottom"/>
            <w:shd w:val="clear" w:color="auto" w:fill="CCEEFF"/>
          </w:tcPr>
          <w:p>
            <w:pPr>
              <w:spacing w:after="0"/>
              <w:rPr>
                <w:sz w:val="15"/>
                <w:szCs w:val="15"/>
                <w:color w:val="auto"/>
              </w:rPr>
            </w:pPr>
          </w:p>
        </w:tc>
      </w:tr>
      <w:tr>
        <w:trPr>
          <w:trHeight w:val="20"/>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2760" w:type="dxa"/>
            <w:vAlign w:val="bottom"/>
            <w:tcBorders>
              <w:top w:val="single" w:sz="8" w:color="0000EE"/>
            </w:tcBorders>
            <w:gridSpan w:val="22"/>
            <w:shd w:val="clear" w:color="auto" w:fill="CCEEFF"/>
          </w:tcPr>
          <w:p>
            <w:pPr>
              <w:spacing w:after="0" w:line="20" w:lineRule="exact"/>
              <w:rPr>
                <w:sz w:val="1"/>
                <w:szCs w:val="1"/>
                <w:color w:val="auto"/>
              </w:rPr>
            </w:pPr>
          </w:p>
        </w:tc>
        <w:tc>
          <w:tcPr>
            <w:tcW w:w="7900" w:type="dxa"/>
            <w:vAlign w:val="bottom"/>
            <w:tcBorders>
              <w:top w:val="single" w:sz="8" w:color="CCEEFF"/>
            </w:tcBorders>
            <w:gridSpan w:val="28"/>
            <w:shd w:val="clear" w:color="auto" w:fill="CCEEFF"/>
          </w:tcPr>
          <w:p>
            <w:pPr>
              <w:spacing w:after="0" w:line="20" w:lineRule="exact"/>
              <w:rPr>
                <w:sz w:val="1"/>
                <w:szCs w:val="1"/>
                <w:color w:val="auto"/>
              </w:rPr>
            </w:pPr>
          </w:p>
        </w:tc>
        <w:tc>
          <w:tcPr>
            <w:tcW w:w="180" w:type="dxa"/>
            <w:vAlign w:val="bottom"/>
            <w:tcBorders>
              <w:top w:val="single" w:sz="8" w:color="0000EE"/>
            </w:tcBorders>
            <w:gridSpan w:val="4"/>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60" w:type="dxa"/>
            <w:vAlign w:val="bottom"/>
          </w:tcPr>
          <w:p>
            <w:pPr>
              <w:spacing w:after="0"/>
              <w:rPr>
                <w:sz w:val="15"/>
                <w:szCs w:val="15"/>
                <w:color w:val="auto"/>
              </w:rPr>
            </w:pPr>
          </w:p>
        </w:tc>
        <w:tc>
          <w:tcPr>
            <w:tcW w:w="10440" w:type="dxa"/>
            <w:vAlign w:val="bottom"/>
            <w:gridSpan w:val="49"/>
          </w:tcPr>
          <w:p>
            <w:pPr>
              <w:ind w:left="20"/>
              <w:spacing w:after="0" w:line="176" w:lineRule="exact"/>
              <w:rPr>
                <w:sz w:val="20"/>
                <w:szCs w:val="20"/>
                <w:color w:val="auto"/>
              </w:rPr>
            </w:pPr>
            <w:r>
              <w:rPr>
                <w:rFonts w:ascii="Times New Roman" w:cs="Times New Roman" w:eastAsia="Times New Roman" w:hAnsi="Times New Roman"/>
                <w:sz w:val="18"/>
                <w:szCs w:val="18"/>
                <w:color w:val="0000EE"/>
              </w:rPr>
              <w:t>Stockholder Advisory Vote on Executive Compensation</w:t>
            </w:r>
          </w:p>
        </w:tc>
        <w:tc>
          <w:tcPr>
            <w:tcW w:w="400" w:type="dxa"/>
            <w:vAlign w:val="bottom"/>
            <w:gridSpan w:val="5"/>
          </w:tcPr>
          <w:p>
            <w:pPr>
              <w:jc w:val="center"/>
              <w:ind w:left="130"/>
              <w:spacing w:after="0" w:line="176" w:lineRule="exact"/>
              <w:rPr>
                <w:sz w:val="20"/>
                <w:szCs w:val="20"/>
                <w:color w:val="auto"/>
              </w:rPr>
            </w:pPr>
            <w:r>
              <w:rPr>
                <w:rFonts w:ascii="Times New Roman" w:cs="Times New Roman" w:eastAsia="Times New Roman" w:hAnsi="Times New Roman"/>
                <w:sz w:val="18"/>
                <w:szCs w:val="18"/>
                <w:color w:val="0000EE"/>
                <w:w w:val="99"/>
              </w:rPr>
              <w:t>20</w:t>
            </w:r>
          </w:p>
        </w:tc>
        <w:tc>
          <w:tcPr>
            <w:tcW w:w="240" w:type="dxa"/>
            <w:vAlign w:val="bottom"/>
          </w:tcPr>
          <w:p>
            <w:pPr>
              <w:spacing w:after="0"/>
              <w:rPr>
                <w:sz w:val="15"/>
                <w:szCs w:val="15"/>
                <w:color w:val="auto"/>
              </w:rPr>
            </w:pPr>
          </w:p>
        </w:tc>
      </w:tr>
      <w:tr>
        <w:trPr>
          <w:trHeight w:val="20"/>
        </w:trPr>
        <w:tc>
          <w:tcPr>
            <w:tcW w:w="160" w:type="dxa"/>
            <w:vAlign w:val="bottom"/>
          </w:tcPr>
          <w:p>
            <w:pPr>
              <w:spacing w:after="0" w:line="20" w:lineRule="exact"/>
              <w:rPr>
                <w:sz w:val="1"/>
                <w:szCs w:val="1"/>
                <w:color w:val="auto"/>
              </w:rPr>
            </w:pPr>
          </w:p>
        </w:tc>
        <w:tc>
          <w:tcPr>
            <w:tcW w:w="4040" w:type="dxa"/>
            <w:vAlign w:val="bottom"/>
            <w:tcBorders>
              <w:top w:val="single" w:sz="8" w:color="0000EE"/>
            </w:tcBorders>
            <w:gridSpan w:val="36"/>
          </w:tcPr>
          <w:p>
            <w:pPr>
              <w:spacing w:after="0" w:line="20" w:lineRule="exact"/>
              <w:rPr>
                <w:sz w:val="1"/>
                <w:szCs w:val="1"/>
                <w:color w:val="auto"/>
              </w:rPr>
            </w:pPr>
          </w:p>
        </w:tc>
        <w:tc>
          <w:tcPr>
            <w:tcW w:w="6620" w:type="dxa"/>
            <w:vAlign w:val="bottom"/>
            <w:gridSpan w:val="14"/>
          </w:tcPr>
          <w:p>
            <w:pPr>
              <w:spacing w:after="0" w:line="20" w:lineRule="exact"/>
              <w:rPr>
                <w:sz w:val="1"/>
                <w:szCs w:val="1"/>
                <w:color w:val="auto"/>
              </w:rPr>
            </w:pPr>
          </w:p>
        </w:tc>
        <w:tc>
          <w:tcPr>
            <w:tcW w:w="180" w:type="dxa"/>
            <w:vAlign w:val="bottom"/>
            <w:tcBorders>
              <w:top w:val="single" w:sz="8" w:color="0000EE"/>
            </w:tcBorders>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75"/>
        </w:trPr>
        <w:tc>
          <w:tcPr>
            <w:tcW w:w="160" w:type="dxa"/>
            <w:vAlign w:val="bottom"/>
            <w:shd w:val="clear" w:color="auto" w:fill="CCEEFF"/>
          </w:tcPr>
          <w:p>
            <w:pPr>
              <w:spacing w:after="0"/>
              <w:rPr>
                <w:sz w:val="15"/>
                <w:szCs w:val="15"/>
                <w:color w:val="auto"/>
              </w:rPr>
            </w:pPr>
          </w:p>
        </w:tc>
        <w:tc>
          <w:tcPr>
            <w:tcW w:w="10440" w:type="dxa"/>
            <w:vAlign w:val="bottom"/>
            <w:gridSpan w:val="4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Executive Compensation Components</w:t>
            </w:r>
          </w:p>
        </w:tc>
        <w:tc>
          <w:tcPr>
            <w:tcW w:w="400" w:type="dxa"/>
            <w:vAlign w:val="bottom"/>
            <w:gridSpan w:val="5"/>
            <w:shd w:val="clear" w:color="auto" w:fill="CCEEFF"/>
          </w:tcPr>
          <w:p>
            <w:pPr>
              <w:jc w:val="center"/>
              <w:ind w:left="130"/>
              <w:spacing w:after="0" w:line="176" w:lineRule="exact"/>
              <w:rPr>
                <w:sz w:val="20"/>
                <w:szCs w:val="20"/>
                <w:color w:val="auto"/>
              </w:rPr>
            </w:pPr>
            <w:r>
              <w:rPr>
                <w:rFonts w:ascii="Times New Roman" w:cs="Times New Roman" w:eastAsia="Times New Roman" w:hAnsi="Times New Roman"/>
                <w:sz w:val="18"/>
                <w:szCs w:val="18"/>
                <w:color w:val="0000EE"/>
                <w:w w:val="99"/>
              </w:rPr>
              <w:t>20</w:t>
            </w:r>
          </w:p>
        </w:tc>
        <w:tc>
          <w:tcPr>
            <w:tcW w:w="240" w:type="dxa"/>
            <w:vAlign w:val="bottom"/>
            <w:shd w:val="clear" w:color="auto" w:fill="CCEEFF"/>
          </w:tcPr>
          <w:p>
            <w:pPr>
              <w:spacing w:after="0"/>
              <w:rPr>
                <w:sz w:val="15"/>
                <w:szCs w:val="15"/>
                <w:color w:val="auto"/>
              </w:rPr>
            </w:pPr>
          </w:p>
        </w:tc>
      </w:tr>
      <w:tr>
        <w:trPr>
          <w:trHeight w:val="20"/>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2760" w:type="dxa"/>
            <w:vAlign w:val="bottom"/>
            <w:tcBorders>
              <w:top w:val="single" w:sz="8" w:color="0000EE"/>
            </w:tcBorders>
            <w:gridSpan w:val="22"/>
            <w:shd w:val="clear" w:color="auto" w:fill="CCEEFF"/>
          </w:tcPr>
          <w:p>
            <w:pPr>
              <w:spacing w:after="0" w:line="20" w:lineRule="exact"/>
              <w:rPr>
                <w:sz w:val="1"/>
                <w:szCs w:val="1"/>
                <w:color w:val="auto"/>
              </w:rPr>
            </w:pPr>
          </w:p>
        </w:tc>
        <w:tc>
          <w:tcPr>
            <w:tcW w:w="7900" w:type="dxa"/>
            <w:vAlign w:val="bottom"/>
            <w:tcBorders>
              <w:top w:val="single" w:sz="8" w:color="CCEEFF"/>
            </w:tcBorders>
            <w:gridSpan w:val="28"/>
            <w:shd w:val="clear" w:color="auto" w:fill="CCEEFF"/>
          </w:tcPr>
          <w:p>
            <w:pPr>
              <w:spacing w:after="0" w:line="20" w:lineRule="exact"/>
              <w:rPr>
                <w:sz w:val="1"/>
                <w:szCs w:val="1"/>
                <w:color w:val="auto"/>
              </w:rPr>
            </w:pPr>
          </w:p>
        </w:tc>
        <w:tc>
          <w:tcPr>
            <w:tcW w:w="180" w:type="dxa"/>
            <w:vAlign w:val="bottom"/>
            <w:tcBorders>
              <w:top w:val="single" w:sz="8" w:color="0000EE"/>
            </w:tcBorders>
            <w:gridSpan w:val="4"/>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60" w:type="dxa"/>
            <w:vAlign w:val="bottom"/>
          </w:tcPr>
          <w:p>
            <w:pPr>
              <w:spacing w:after="0"/>
              <w:rPr>
                <w:sz w:val="15"/>
                <w:szCs w:val="15"/>
                <w:color w:val="auto"/>
              </w:rPr>
            </w:pPr>
          </w:p>
        </w:tc>
        <w:tc>
          <w:tcPr>
            <w:tcW w:w="10440" w:type="dxa"/>
            <w:vAlign w:val="bottom"/>
            <w:gridSpan w:val="49"/>
          </w:tcPr>
          <w:p>
            <w:pPr>
              <w:ind w:left="20"/>
              <w:spacing w:after="0" w:line="176" w:lineRule="exact"/>
              <w:rPr>
                <w:sz w:val="20"/>
                <w:szCs w:val="20"/>
                <w:color w:val="auto"/>
              </w:rPr>
            </w:pPr>
            <w:r>
              <w:rPr>
                <w:rFonts w:ascii="Times New Roman" w:cs="Times New Roman" w:eastAsia="Times New Roman" w:hAnsi="Times New Roman"/>
                <w:sz w:val="18"/>
                <w:szCs w:val="18"/>
                <w:color w:val="0000EE"/>
              </w:rPr>
              <w:t>Risk Management and Compensation Policies and Practices</w:t>
            </w:r>
          </w:p>
        </w:tc>
        <w:tc>
          <w:tcPr>
            <w:tcW w:w="400" w:type="dxa"/>
            <w:vAlign w:val="bottom"/>
            <w:gridSpan w:val="5"/>
          </w:tcPr>
          <w:p>
            <w:pPr>
              <w:jc w:val="center"/>
              <w:ind w:left="130"/>
              <w:spacing w:after="0" w:line="176" w:lineRule="exact"/>
              <w:rPr>
                <w:sz w:val="20"/>
                <w:szCs w:val="20"/>
                <w:color w:val="auto"/>
              </w:rPr>
            </w:pPr>
            <w:r>
              <w:rPr>
                <w:rFonts w:ascii="Times New Roman" w:cs="Times New Roman" w:eastAsia="Times New Roman" w:hAnsi="Times New Roman"/>
                <w:sz w:val="18"/>
                <w:szCs w:val="18"/>
                <w:color w:val="0000EE"/>
                <w:w w:val="99"/>
              </w:rPr>
              <w:t>23</w:t>
            </w:r>
          </w:p>
        </w:tc>
        <w:tc>
          <w:tcPr>
            <w:tcW w:w="240" w:type="dxa"/>
            <w:vAlign w:val="bottom"/>
          </w:tcPr>
          <w:p>
            <w:pPr>
              <w:spacing w:after="0"/>
              <w:rPr>
                <w:sz w:val="15"/>
                <w:szCs w:val="15"/>
                <w:color w:val="auto"/>
              </w:rPr>
            </w:pPr>
          </w:p>
        </w:tc>
      </w:tr>
      <w:tr>
        <w:trPr>
          <w:trHeight w:val="21"/>
        </w:trPr>
        <w:tc>
          <w:tcPr>
            <w:tcW w:w="160" w:type="dxa"/>
            <w:vAlign w:val="bottom"/>
          </w:tcPr>
          <w:p>
            <w:pPr>
              <w:spacing w:after="0" w:line="20" w:lineRule="exact"/>
              <w:rPr>
                <w:sz w:val="1"/>
                <w:szCs w:val="1"/>
                <w:color w:val="auto"/>
              </w:rPr>
            </w:pPr>
          </w:p>
        </w:tc>
        <w:tc>
          <w:tcPr>
            <w:tcW w:w="4320" w:type="dxa"/>
            <w:vAlign w:val="bottom"/>
            <w:tcBorders>
              <w:top w:val="single" w:sz="8" w:color="0000EE"/>
            </w:tcBorders>
            <w:gridSpan w:val="38"/>
          </w:tcPr>
          <w:p>
            <w:pPr>
              <w:spacing w:after="0" w:line="20" w:lineRule="exact"/>
              <w:rPr>
                <w:sz w:val="1"/>
                <w:szCs w:val="1"/>
                <w:color w:val="auto"/>
              </w:rPr>
            </w:pPr>
          </w:p>
        </w:tc>
        <w:tc>
          <w:tcPr>
            <w:tcW w:w="6340" w:type="dxa"/>
            <w:vAlign w:val="bottom"/>
            <w:gridSpan w:val="12"/>
          </w:tcPr>
          <w:p>
            <w:pPr>
              <w:spacing w:after="0" w:line="20" w:lineRule="exact"/>
              <w:rPr>
                <w:sz w:val="1"/>
                <w:szCs w:val="1"/>
                <w:color w:val="auto"/>
              </w:rPr>
            </w:pPr>
          </w:p>
        </w:tc>
        <w:tc>
          <w:tcPr>
            <w:tcW w:w="180" w:type="dxa"/>
            <w:vAlign w:val="bottom"/>
            <w:tcBorders>
              <w:top w:val="single" w:sz="8" w:color="0000EE"/>
            </w:tcBorders>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1860" w:type="dxa"/>
            <w:vAlign w:val="bottom"/>
            <w:tcBorders>
              <w:bottom w:val="single" w:sz="8" w:color="0000EE"/>
            </w:tcBorders>
            <w:gridSpan w:val="10"/>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8"/>
              </w:rPr>
              <w:t>Employment Agreements</w:t>
            </w:r>
          </w:p>
        </w:tc>
        <w:tc>
          <w:tcPr>
            <w:tcW w:w="8580" w:type="dxa"/>
            <w:vAlign w:val="bottom"/>
            <w:tcBorders>
              <w:bottom w:val="single" w:sz="8" w:color="CCEEFF"/>
            </w:tcBorders>
            <w:gridSpan w:val="39"/>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4"/>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0000EE"/>
                <w:w w:val="99"/>
              </w:rPr>
              <w:t>24</w:t>
            </w:r>
          </w:p>
        </w:tc>
        <w:tc>
          <w:tcPr>
            <w:tcW w:w="240" w:type="dxa"/>
            <w:vAlign w:val="bottom"/>
            <w:tcBorders>
              <w:bottom w:val="single" w:sz="8" w:color="CCEEFF"/>
            </w:tcBorders>
            <w:shd w:val="clear" w:color="auto" w:fill="CCEEFF"/>
          </w:tcPr>
          <w:p>
            <w:pPr>
              <w:spacing w:after="0"/>
              <w:rPr>
                <w:sz w:val="17"/>
                <w:szCs w:val="17"/>
                <w:color w:val="auto"/>
              </w:rPr>
            </w:pPr>
          </w:p>
        </w:tc>
      </w:tr>
      <w:tr>
        <w:trPr>
          <w:trHeight w:val="175"/>
        </w:trPr>
        <w:tc>
          <w:tcPr>
            <w:tcW w:w="160" w:type="dxa"/>
            <w:vAlign w:val="bottom"/>
          </w:tcPr>
          <w:p>
            <w:pPr>
              <w:spacing w:after="0"/>
              <w:rPr>
                <w:sz w:val="15"/>
                <w:szCs w:val="15"/>
                <w:color w:val="auto"/>
              </w:rPr>
            </w:pPr>
          </w:p>
        </w:tc>
        <w:tc>
          <w:tcPr>
            <w:tcW w:w="10440" w:type="dxa"/>
            <w:vAlign w:val="bottom"/>
            <w:gridSpan w:val="49"/>
          </w:tcPr>
          <w:p>
            <w:pPr>
              <w:ind w:left="20"/>
              <w:spacing w:after="0" w:line="176" w:lineRule="exact"/>
              <w:rPr>
                <w:sz w:val="20"/>
                <w:szCs w:val="20"/>
                <w:color w:val="auto"/>
              </w:rPr>
            </w:pPr>
            <w:r>
              <w:rPr>
                <w:rFonts w:ascii="Times New Roman" w:cs="Times New Roman" w:eastAsia="Times New Roman" w:hAnsi="Times New Roman"/>
                <w:sz w:val="18"/>
                <w:szCs w:val="18"/>
                <w:color w:val="0000EE"/>
              </w:rPr>
              <w:t>1940 Act Restrictions on Company Performance Based Compensation</w:t>
            </w:r>
          </w:p>
        </w:tc>
        <w:tc>
          <w:tcPr>
            <w:tcW w:w="400" w:type="dxa"/>
            <w:vAlign w:val="bottom"/>
            <w:gridSpan w:val="5"/>
          </w:tcPr>
          <w:p>
            <w:pPr>
              <w:jc w:val="center"/>
              <w:ind w:left="130"/>
              <w:spacing w:after="0" w:line="176" w:lineRule="exact"/>
              <w:rPr>
                <w:sz w:val="20"/>
                <w:szCs w:val="20"/>
                <w:color w:val="auto"/>
              </w:rPr>
            </w:pPr>
            <w:r>
              <w:rPr>
                <w:rFonts w:ascii="Times New Roman" w:cs="Times New Roman" w:eastAsia="Times New Roman" w:hAnsi="Times New Roman"/>
                <w:sz w:val="18"/>
                <w:szCs w:val="18"/>
                <w:color w:val="0000EE"/>
                <w:w w:val="99"/>
              </w:rPr>
              <w:t>28</w:t>
            </w:r>
          </w:p>
        </w:tc>
        <w:tc>
          <w:tcPr>
            <w:tcW w:w="240" w:type="dxa"/>
            <w:vAlign w:val="bottom"/>
          </w:tcPr>
          <w:p>
            <w:pPr>
              <w:spacing w:after="0"/>
              <w:rPr>
                <w:sz w:val="15"/>
                <w:szCs w:val="15"/>
                <w:color w:val="auto"/>
              </w:rPr>
            </w:pPr>
          </w:p>
        </w:tc>
      </w:tr>
      <w:tr>
        <w:trPr>
          <w:trHeight w:val="20"/>
        </w:trPr>
        <w:tc>
          <w:tcPr>
            <w:tcW w:w="160" w:type="dxa"/>
            <w:vAlign w:val="bottom"/>
          </w:tcPr>
          <w:p>
            <w:pPr>
              <w:spacing w:after="0" w:line="20" w:lineRule="exact"/>
              <w:rPr>
                <w:sz w:val="1"/>
                <w:szCs w:val="1"/>
                <w:color w:val="auto"/>
              </w:rPr>
            </w:pPr>
          </w:p>
        </w:tc>
        <w:tc>
          <w:tcPr>
            <w:tcW w:w="5080" w:type="dxa"/>
            <w:vAlign w:val="bottom"/>
            <w:tcBorders>
              <w:top w:val="single" w:sz="8" w:color="0000EE"/>
            </w:tcBorders>
            <w:gridSpan w:val="42"/>
          </w:tcPr>
          <w:p>
            <w:pPr>
              <w:spacing w:after="0" w:line="20" w:lineRule="exact"/>
              <w:rPr>
                <w:sz w:val="1"/>
                <w:szCs w:val="1"/>
                <w:color w:val="auto"/>
              </w:rPr>
            </w:pPr>
          </w:p>
        </w:tc>
        <w:tc>
          <w:tcPr>
            <w:tcW w:w="5580" w:type="dxa"/>
            <w:vAlign w:val="bottom"/>
            <w:gridSpan w:val="8"/>
          </w:tcPr>
          <w:p>
            <w:pPr>
              <w:spacing w:after="0" w:line="20" w:lineRule="exact"/>
              <w:rPr>
                <w:sz w:val="1"/>
                <w:szCs w:val="1"/>
                <w:color w:val="auto"/>
              </w:rPr>
            </w:pPr>
          </w:p>
        </w:tc>
        <w:tc>
          <w:tcPr>
            <w:tcW w:w="180" w:type="dxa"/>
            <w:vAlign w:val="bottom"/>
            <w:tcBorders>
              <w:top w:val="single" w:sz="8" w:color="0000EE"/>
            </w:tcBorders>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2560" w:type="dxa"/>
            <w:vAlign w:val="bottom"/>
            <w:tcBorders>
              <w:bottom w:val="single" w:sz="8" w:color="0000EE"/>
            </w:tcBorders>
            <w:gridSpan w:val="18"/>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8"/>
              </w:rPr>
              <w:t>Tax Deductibility of Compensation</w:t>
            </w:r>
          </w:p>
        </w:tc>
        <w:tc>
          <w:tcPr>
            <w:tcW w:w="7880" w:type="dxa"/>
            <w:vAlign w:val="bottom"/>
            <w:tcBorders>
              <w:bottom w:val="single" w:sz="8" w:color="CCEEFF"/>
            </w:tcBorders>
            <w:gridSpan w:val="31"/>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4"/>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0000EE"/>
                <w:w w:val="99"/>
              </w:rPr>
              <w:t>28</w:t>
            </w:r>
          </w:p>
        </w:tc>
        <w:tc>
          <w:tcPr>
            <w:tcW w:w="240" w:type="dxa"/>
            <w:vAlign w:val="bottom"/>
            <w:tcBorders>
              <w:bottom w:val="single" w:sz="8" w:color="CCEEFF"/>
            </w:tcBorders>
            <w:shd w:val="clear" w:color="auto" w:fill="CCEEFF"/>
          </w:tcPr>
          <w:p>
            <w:pPr>
              <w:spacing w:after="0"/>
              <w:rPr>
                <w:sz w:val="17"/>
                <w:szCs w:val="17"/>
                <w:color w:val="auto"/>
              </w:rPr>
            </w:pPr>
          </w:p>
        </w:tc>
      </w:tr>
      <w:tr>
        <w:trPr>
          <w:trHeight w:val="175"/>
        </w:trPr>
        <w:tc>
          <w:tcPr>
            <w:tcW w:w="160" w:type="dxa"/>
            <w:vAlign w:val="bottom"/>
          </w:tcPr>
          <w:p>
            <w:pPr>
              <w:spacing w:after="0"/>
              <w:rPr>
                <w:sz w:val="15"/>
                <w:szCs w:val="15"/>
                <w:color w:val="auto"/>
              </w:rPr>
            </w:pPr>
          </w:p>
        </w:tc>
        <w:tc>
          <w:tcPr>
            <w:tcW w:w="10440" w:type="dxa"/>
            <w:vAlign w:val="bottom"/>
            <w:gridSpan w:val="49"/>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Conclusion</w:t>
            </w:r>
          </w:p>
        </w:tc>
        <w:tc>
          <w:tcPr>
            <w:tcW w:w="400" w:type="dxa"/>
            <w:vAlign w:val="bottom"/>
            <w:gridSpan w:val="5"/>
          </w:tcPr>
          <w:p>
            <w:pPr>
              <w:jc w:val="center"/>
              <w:ind w:left="130"/>
              <w:spacing w:after="0" w:line="176" w:lineRule="exact"/>
              <w:rPr>
                <w:sz w:val="20"/>
                <w:szCs w:val="20"/>
                <w:color w:val="auto"/>
              </w:rPr>
            </w:pPr>
            <w:r>
              <w:rPr>
                <w:rFonts w:ascii="Times New Roman" w:cs="Times New Roman" w:eastAsia="Times New Roman" w:hAnsi="Times New Roman"/>
                <w:sz w:val="18"/>
                <w:szCs w:val="18"/>
                <w:color w:val="0000EE"/>
                <w:w w:val="99"/>
              </w:rPr>
              <w:t>28</w:t>
            </w:r>
          </w:p>
        </w:tc>
        <w:tc>
          <w:tcPr>
            <w:tcW w:w="240" w:type="dxa"/>
            <w:vAlign w:val="bottom"/>
          </w:tcPr>
          <w:p>
            <w:pPr>
              <w:spacing w:after="0"/>
              <w:rPr>
                <w:sz w:val="15"/>
                <w:szCs w:val="15"/>
                <w:color w:val="auto"/>
              </w:rPr>
            </w:pPr>
          </w:p>
        </w:tc>
      </w:tr>
      <w:tr>
        <w:trPr>
          <w:trHeight w:val="20"/>
        </w:trPr>
        <w:tc>
          <w:tcPr>
            <w:tcW w:w="16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9840" w:type="dxa"/>
            <w:vAlign w:val="bottom"/>
            <w:gridSpan w:val="49"/>
          </w:tcPr>
          <w:p>
            <w:pPr>
              <w:spacing w:after="0" w:line="20" w:lineRule="exact"/>
              <w:rPr>
                <w:sz w:val="1"/>
                <w:szCs w:val="1"/>
                <w:color w:val="auto"/>
              </w:rPr>
            </w:pPr>
          </w:p>
        </w:tc>
        <w:tc>
          <w:tcPr>
            <w:tcW w:w="180" w:type="dxa"/>
            <w:vAlign w:val="bottom"/>
            <w:tcBorders>
              <w:top w:val="single" w:sz="8" w:color="0000EE"/>
            </w:tcBorders>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3240" w:type="dxa"/>
            <w:vAlign w:val="bottom"/>
            <w:tcBorders>
              <w:bottom w:val="single" w:sz="8" w:color="0000EE"/>
            </w:tcBorders>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COMPENSATION COMMITTEE REPORT</w:t>
            </w:r>
          </w:p>
        </w:tc>
        <w:tc>
          <w:tcPr>
            <w:tcW w:w="7360" w:type="dxa"/>
            <w:vAlign w:val="bottom"/>
            <w:tcBorders>
              <w:bottom w:val="single" w:sz="8" w:color="CCEEFF"/>
            </w:tcBorders>
            <w:gridSpan w:val="22"/>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4"/>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0000EE"/>
                <w:w w:val="99"/>
              </w:rPr>
              <w:t>29</w:t>
            </w:r>
          </w:p>
        </w:tc>
        <w:tc>
          <w:tcPr>
            <w:tcW w:w="240" w:type="dxa"/>
            <w:vAlign w:val="bottom"/>
            <w:tcBorders>
              <w:bottom w:val="single" w:sz="8" w:color="CCEEFF"/>
            </w:tcBorders>
            <w:shd w:val="clear" w:color="auto" w:fill="CCEEFF"/>
          </w:tcPr>
          <w:p>
            <w:pPr>
              <w:spacing w:after="0"/>
              <w:rPr>
                <w:sz w:val="17"/>
                <w:szCs w:val="17"/>
                <w:color w:val="auto"/>
              </w:rPr>
            </w:pPr>
          </w:p>
        </w:tc>
      </w:tr>
      <w:tr>
        <w:trPr>
          <w:trHeight w:val="176"/>
        </w:trPr>
        <w:tc>
          <w:tcPr>
            <w:tcW w:w="10600" w:type="dxa"/>
            <w:vAlign w:val="bottom"/>
            <w:gridSpan w:val="50"/>
          </w:tcPr>
          <w:p>
            <w:pPr>
              <w:spacing w:after="0" w:line="176" w:lineRule="exact"/>
              <w:rPr>
                <w:sz w:val="20"/>
                <w:szCs w:val="20"/>
                <w:color w:val="auto"/>
              </w:rPr>
            </w:pPr>
            <w:r>
              <w:rPr>
                <w:rFonts w:ascii="Times New Roman" w:cs="Times New Roman" w:eastAsia="Times New Roman" w:hAnsi="Times New Roman"/>
                <w:sz w:val="18"/>
                <w:szCs w:val="18"/>
                <w:color w:val="0000EE"/>
              </w:rPr>
              <w:t>COMPENSATION OF EXECUTIVE OFFICERS</w:t>
            </w:r>
          </w:p>
        </w:tc>
        <w:tc>
          <w:tcPr>
            <w:tcW w:w="400" w:type="dxa"/>
            <w:vAlign w:val="bottom"/>
            <w:gridSpan w:val="5"/>
          </w:tcPr>
          <w:p>
            <w:pPr>
              <w:jc w:val="center"/>
              <w:ind w:left="130"/>
              <w:spacing w:after="0" w:line="176" w:lineRule="exact"/>
              <w:rPr>
                <w:sz w:val="20"/>
                <w:szCs w:val="20"/>
                <w:color w:val="auto"/>
              </w:rPr>
            </w:pPr>
            <w:r>
              <w:rPr>
                <w:rFonts w:ascii="Times New Roman" w:cs="Times New Roman" w:eastAsia="Times New Roman" w:hAnsi="Times New Roman"/>
                <w:sz w:val="18"/>
                <w:szCs w:val="18"/>
                <w:color w:val="0000EE"/>
                <w:w w:val="99"/>
              </w:rPr>
              <w:t>30</w:t>
            </w:r>
          </w:p>
        </w:tc>
        <w:tc>
          <w:tcPr>
            <w:tcW w:w="240" w:type="dxa"/>
            <w:vAlign w:val="bottom"/>
          </w:tcPr>
          <w:p>
            <w:pPr>
              <w:spacing w:after="0"/>
              <w:rPr>
                <w:sz w:val="15"/>
                <w:szCs w:val="15"/>
                <w:color w:val="auto"/>
              </w:rPr>
            </w:pPr>
          </w:p>
        </w:tc>
      </w:tr>
      <w:tr>
        <w:trPr>
          <w:trHeight w:val="20"/>
        </w:trPr>
        <w:tc>
          <w:tcPr>
            <w:tcW w:w="3620" w:type="dxa"/>
            <w:vAlign w:val="bottom"/>
            <w:tcBorders>
              <w:top w:val="single" w:sz="8" w:color="0000EE"/>
            </w:tcBorders>
            <w:gridSpan w:val="33"/>
          </w:tcPr>
          <w:p>
            <w:pPr>
              <w:spacing w:after="0" w:line="20" w:lineRule="exact"/>
              <w:rPr>
                <w:sz w:val="1"/>
                <w:szCs w:val="1"/>
                <w:color w:val="auto"/>
              </w:rPr>
            </w:pPr>
          </w:p>
        </w:tc>
        <w:tc>
          <w:tcPr>
            <w:tcW w:w="7200" w:type="dxa"/>
            <w:vAlign w:val="bottom"/>
            <w:gridSpan w:val="18"/>
          </w:tcPr>
          <w:p>
            <w:pPr>
              <w:spacing w:after="0" w:line="20" w:lineRule="exact"/>
              <w:rPr>
                <w:sz w:val="1"/>
                <w:szCs w:val="1"/>
                <w:color w:val="auto"/>
              </w:rPr>
            </w:pPr>
          </w:p>
        </w:tc>
        <w:tc>
          <w:tcPr>
            <w:tcW w:w="180" w:type="dxa"/>
            <w:vAlign w:val="bottom"/>
            <w:tcBorders>
              <w:top w:val="single" w:sz="8" w:color="0000EE"/>
            </w:tcBorders>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2240" w:type="dxa"/>
            <w:vAlign w:val="bottom"/>
            <w:tcBorders>
              <w:bottom w:val="single" w:sz="8" w:color="0000EE"/>
            </w:tcBorders>
            <w:gridSpan w:val="1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8"/>
              </w:rPr>
              <w:t>Summary Compensation Table</w:t>
            </w:r>
          </w:p>
        </w:tc>
        <w:tc>
          <w:tcPr>
            <w:tcW w:w="8200" w:type="dxa"/>
            <w:vAlign w:val="bottom"/>
            <w:tcBorders>
              <w:bottom w:val="single" w:sz="8" w:color="CCEEFF"/>
            </w:tcBorders>
            <w:gridSpan w:val="34"/>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4"/>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0000EE"/>
                <w:w w:val="99"/>
              </w:rPr>
              <w:t>30</w:t>
            </w:r>
          </w:p>
        </w:tc>
        <w:tc>
          <w:tcPr>
            <w:tcW w:w="240" w:type="dxa"/>
            <w:vAlign w:val="bottom"/>
            <w:tcBorders>
              <w:bottom w:val="single" w:sz="8" w:color="CCEEFF"/>
            </w:tcBorders>
            <w:shd w:val="clear" w:color="auto" w:fill="CCEEFF"/>
          </w:tcPr>
          <w:p>
            <w:pPr>
              <w:spacing w:after="0"/>
              <w:rPr>
                <w:sz w:val="17"/>
                <w:szCs w:val="17"/>
                <w:color w:val="auto"/>
              </w:rPr>
            </w:pPr>
          </w:p>
        </w:tc>
      </w:tr>
      <w:tr>
        <w:trPr>
          <w:trHeight w:val="175"/>
        </w:trPr>
        <w:tc>
          <w:tcPr>
            <w:tcW w:w="160" w:type="dxa"/>
            <w:vAlign w:val="bottom"/>
          </w:tcPr>
          <w:p>
            <w:pPr>
              <w:spacing w:after="0"/>
              <w:rPr>
                <w:sz w:val="15"/>
                <w:szCs w:val="15"/>
                <w:color w:val="auto"/>
              </w:rPr>
            </w:pPr>
          </w:p>
        </w:tc>
        <w:tc>
          <w:tcPr>
            <w:tcW w:w="10440" w:type="dxa"/>
            <w:vAlign w:val="bottom"/>
            <w:gridSpan w:val="49"/>
          </w:tcPr>
          <w:p>
            <w:pPr>
              <w:ind w:left="20"/>
              <w:spacing w:after="0" w:line="176" w:lineRule="exact"/>
              <w:rPr>
                <w:sz w:val="20"/>
                <w:szCs w:val="20"/>
                <w:color w:val="auto"/>
              </w:rPr>
            </w:pPr>
            <w:r>
              <w:rPr>
                <w:rFonts w:ascii="Times New Roman" w:cs="Times New Roman" w:eastAsia="Times New Roman" w:hAnsi="Times New Roman"/>
                <w:sz w:val="18"/>
                <w:szCs w:val="18"/>
                <w:color w:val="0000EE"/>
              </w:rPr>
              <w:t>Grants of Plan-Based Awards</w:t>
            </w:r>
          </w:p>
        </w:tc>
        <w:tc>
          <w:tcPr>
            <w:tcW w:w="400" w:type="dxa"/>
            <w:vAlign w:val="bottom"/>
            <w:gridSpan w:val="5"/>
          </w:tcPr>
          <w:p>
            <w:pPr>
              <w:jc w:val="center"/>
              <w:ind w:left="130"/>
              <w:spacing w:after="0" w:line="176" w:lineRule="exact"/>
              <w:rPr>
                <w:sz w:val="20"/>
                <w:szCs w:val="20"/>
                <w:color w:val="auto"/>
              </w:rPr>
            </w:pPr>
            <w:r>
              <w:rPr>
                <w:rFonts w:ascii="Times New Roman" w:cs="Times New Roman" w:eastAsia="Times New Roman" w:hAnsi="Times New Roman"/>
                <w:sz w:val="18"/>
                <w:szCs w:val="18"/>
                <w:color w:val="0000EE"/>
                <w:w w:val="99"/>
              </w:rPr>
              <w:t>31</w:t>
            </w:r>
          </w:p>
        </w:tc>
        <w:tc>
          <w:tcPr>
            <w:tcW w:w="240" w:type="dxa"/>
            <w:vAlign w:val="bottom"/>
          </w:tcPr>
          <w:p>
            <w:pPr>
              <w:spacing w:after="0"/>
              <w:rPr>
                <w:sz w:val="15"/>
                <w:szCs w:val="15"/>
                <w:color w:val="auto"/>
              </w:rPr>
            </w:pPr>
          </w:p>
        </w:tc>
      </w:tr>
      <w:tr>
        <w:trPr>
          <w:trHeight w:val="20"/>
        </w:trPr>
        <w:tc>
          <w:tcPr>
            <w:tcW w:w="160" w:type="dxa"/>
            <w:vAlign w:val="bottom"/>
          </w:tcPr>
          <w:p>
            <w:pPr>
              <w:spacing w:after="0" w:line="20" w:lineRule="exact"/>
              <w:rPr>
                <w:sz w:val="1"/>
                <w:szCs w:val="1"/>
                <w:color w:val="auto"/>
              </w:rPr>
            </w:pPr>
          </w:p>
        </w:tc>
        <w:tc>
          <w:tcPr>
            <w:tcW w:w="2140" w:type="dxa"/>
            <w:vAlign w:val="bottom"/>
            <w:tcBorders>
              <w:top w:val="single" w:sz="8" w:color="0000EE"/>
            </w:tcBorders>
            <w:gridSpan w:val="12"/>
          </w:tcPr>
          <w:p>
            <w:pPr>
              <w:spacing w:after="0" w:line="20" w:lineRule="exact"/>
              <w:rPr>
                <w:sz w:val="1"/>
                <w:szCs w:val="1"/>
                <w:color w:val="auto"/>
              </w:rPr>
            </w:pPr>
          </w:p>
        </w:tc>
        <w:tc>
          <w:tcPr>
            <w:tcW w:w="8520" w:type="dxa"/>
            <w:vAlign w:val="bottom"/>
            <w:gridSpan w:val="38"/>
          </w:tcPr>
          <w:p>
            <w:pPr>
              <w:spacing w:after="0" w:line="20" w:lineRule="exact"/>
              <w:rPr>
                <w:sz w:val="1"/>
                <w:szCs w:val="1"/>
                <w:color w:val="auto"/>
              </w:rPr>
            </w:pPr>
          </w:p>
        </w:tc>
        <w:tc>
          <w:tcPr>
            <w:tcW w:w="180" w:type="dxa"/>
            <w:vAlign w:val="bottom"/>
            <w:tcBorders>
              <w:top w:val="single" w:sz="8" w:color="0000EE"/>
            </w:tcBorders>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10440" w:type="dxa"/>
            <w:vAlign w:val="bottom"/>
            <w:gridSpan w:val="4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Outstanding Equity Awards at Fiscal Year End</w:t>
            </w:r>
          </w:p>
        </w:tc>
        <w:tc>
          <w:tcPr>
            <w:tcW w:w="400" w:type="dxa"/>
            <w:vAlign w:val="bottom"/>
            <w:gridSpan w:val="5"/>
            <w:shd w:val="clear" w:color="auto" w:fill="CCEEFF"/>
          </w:tcPr>
          <w:p>
            <w:pPr>
              <w:jc w:val="center"/>
              <w:ind w:left="130"/>
              <w:spacing w:after="0" w:line="176" w:lineRule="exact"/>
              <w:rPr>
                <w:sz w:val="20"/>
                <w:szCs w:val="20"/>
                <w:color w:val="auto"/>
              </w:rPr>
            </w:pPr>
            <w:r>
              <w:rPr>
                <w:rFonts w:ascii="Times New Roman" w:cs="Times New Roman" w:eastAsia="Times New Roman" w:hAnsi="Times New Roman"/>
                <w:sz w:val="18"/>
                <w:szCs w:val="18"/>
                <w:color w:val="0000EE"/>
                <w:w w:val="99"/>
              </w:rPr>
              <w:t>31</w:t>
            </w:r>
          </w:p>
        </w:tc>
        <w:tc>
          <w:tcPr>
            <w:tcW w:w="240" w:type="dxa"/>
            <w:vAlign w:val="bottom"/>
            <w:shd w:val="clear" w:color="auto" w:fill="CCEEFF"/>
          </w:tcPr>
          <w:p>
            <w:pPr>
              <w:spacing w:after="0"/>
              <w:rPr>
                <w:sz w:val="17"/>
                <w:szCs w:val="17"/>
                <w:color w:val="auto"/>
              </w:rPr>
            </w:pPr>
          </w:p>
        </w:tc>
      </w:tr>
      <w:tr>
        <w:trPr>
          <w:trHeight w:val="175"/>
        </w:trPr>
        <w:tc>
          <w:tcPr>
            <w:tcW w:w="160" w:type="dxa"/>
            <w:vAlign w:val="bottom"/>
            <w:tcBorders>
              <w:top w:val="single" w:sz="8" w:color="CCEEFF"/>
            </w:tcBorders>
          </w:tcPr>
          <w:p>
            <w:pPr>
              <w:spacing w:after="0"/>
              <w:rPr>
                <w:sz w:val="15"/>
                <w:szCs w:val="15"/>
                <w:color w:val="auto"/>
              </w:rPr>
            </w:pPr>
          </w:p>
        </w:tc>
        <w:tc>
          <w:tcPr>
            <w:tcW w:w="3360" w:type="dxa"/>
            <w:vAlign w:val="bottom"/>
            <w:tcBorders>
              <w:top w:val="single" w:sz="8" w:color="0000EE"/>
            </w:tcBorders>
            <w:gridSpan w:val="31"/>
          </w:tcPr>
          <w:p>
            <w:pPr>
              <w:ind w:left="20"/>
              <w:spacing w:after="0" w:line="176" w:lineRule="exact"/>
              <w:rPr>
                <w:sz w:val="20"/>
                <w:szCs w:val="20"/>
                <w:color w:val="auto"/>
              </w:rPr>
            </w:pPr>
            <w:r>
              <w:rPr>
                <w:rFonts w:ascii="Times New Roman" w:cs="Times New Roman" w:eastAsia="Times New Roman" w:hAnsi="Times New Roman"/>
                <w:sz w:val="18"/>
                <w:szCs w:val="18"/>
                <w:color w:val="0000EE"/>
              </w:rPr>
              <w:t>Equity Awards Vested in Fiscal Year</w:t>
            </w:r>
          </w:p>
        </w:tc>
        <w:tc>
          <w:tcPr>
            <w:tcW w:w="7080" w:type="dxa"/>
            <w:vAlign w:val="bottom"/>
            <w:tcBorders>
              <w:top w:val="single" w:sz="8" w:color="CCEEFF"/>
            </w:tcBorders>
            <w:gridSpan w:val="18"/>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80" w:type="dxa"/>
            <w:vAlign w:val="bottom"/>
            <w:tcBorders>
              <w:top w:val="single" w:sz="8" w:color="0000EE"/>
            </w:tcBorders>
            <w:gridSpan w:val="4"/>
          </w:tcPr>
          <w:p>
            <w:pPr>
              <w:jc w:val="center"/>
              <w:spacing w:after="0" w:line="176" w:lineRule="exact"/>
              <w:rPr>
                <w:sz w:val="20"/>
                <w:szCs w:val="20"/>
                <w:color w:val="auto"/>
              </w:rPr>
            </w:pPr>
            <w:r>
              <w:rPr>
                <w:rFonts w:ascii="Times New Roman" w:cs="Times New Roman" w:eastAsia="Times New Roman" w:hAnsi="Times New Roman"/>
                <w:sz w:val="18"/>
                <w:szCs w:val="18"/>
                <w:color w:val="0000EE"/>
                <w:w w:val="99"/>
              </w:rPr>
              <w:t>32</w:t>
            </w:r>
          </w:p>
        </w:tc>
        <w:tc>
          <w:tcPr>
            <w:tcW w:w="240" w:type="dxa"/>
            <w:vAlign w:val="bottom"/>
            <w:tcBorders>
              <w:top w:val="single" w:sz="8" w:color="CCEEFF"/>
            </w:tcBorders>
          </w:tcPr>
          <w:p>
            <w:pPr>
              <w:spacing w:after="0"/>
              <w:rPr>
                <w:sz w:val="15"/>
                <w:szCs w:val="15"/>
                <w:color w:val="auto"/>
              </w:rPr>
            </w:pPr>
          </w:p>
        </w:tc>
      </w:tr>
      <w:tr>
        <w:trPr>
          <w:trHeight w:val="20"/>
        </w:trPr>
        <w:tc>
          <w:tcPr>
            <w:tcW w:w="160" w:type="dxa"/>
            <w:vAlign w:val="bottom"/>
          </w:tcPr>
          <w:p>
            <w:pPr>
              <w:spacing w:after="0" w:line="20" w:lineRule="exact"/>
              <w:rPr>
                <w:sz w:val="1"/>
                <w:szCs w:val="1"/>
                <w:color w:val="auto"/>
              </w:rPr>
            </w:pPr>
          </w:p>
        </w:tc>
        <w:tc>
          <w:tcPr>
            <w:tcW w:w="2640" w:type="dxa"/>
            <w:vAlign w:val="bottom"/>
            <w:tcBorders>
              <w:top w:val="single" w:sz="8" w:color="0000EE"/>
            </w:tcBorders>
            <w:gridSpan w:val="19"/>
          </w:tcPr>
          <w:p>
            <w:pPr>
              <w:spacing w:after="0" w:line="20" w:lineRule="exact"/>
              <w:rPr>
                <w:sz w:val="1"/>
                <w:szCs w:val="1"/>
                <w:color w:val="auto"/>
              </w:rPr>
            </w:pPr>
          </w:p>
        </w:tc>
        <w:tc>
          <w:tcPr>
            <w:tcW w:w="8020" w:type="dxa"/>
            <w:vAlign w:val="bottom"/>
            <w:gridSpan w:val="31"/>
          </w:tcPr>
          <w:p>
            <w:pPr>
              <w:spacing w:after="0" w:line="20" w:lineRule="exact"/>
              <w:rPr>
                <w:sz w:val="1"/>
                <w:szCs w:val="1"/>
                <w:color w:val="auto"/>
              </w:rPr>
            </w:pPr>
          </w:p>
        </w:tc>
        <w:tc>
          <w:tcPr>
            <w:tcW w:w="180" w:type="dxa"/>
            <w:vAlign w:val="bottom"/>
            <w:tcBorders>
              <w:top w:val="single" w:sz="8" w:color="0000EE"/>
            </w:tcBorders>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5500" w:type="dxa"/>
            <w:vAlign w:val="bottom"/>
            <w:tcBorders>
              <w:bottom w:val="single" w:sz="8" w:color="0000EE"/>
            </w:tcBorders>
            <w:gridSpan w:val="4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9"/>
              </w:rPr>
              <w:t>Potential Payments Upon Change in Control or Termination of Employment</w:t>
            </w:r>
          </w:p>
        </w:tc>
        <w:tc>
          <w:tcPr>
            <w:tcW w:w="4940" w:type="dxa"/>
            <w:vAlign w:val="bottom"/>
            <w:tcBorders>
              <w:bottom w:val="single" w:sz="8" w:color="CCEEFF"/>
            </w:tcBorders>
            <w:gridSpan w:val="4"/>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4"/>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0000EE"/>
                <w:w w:val="99"/>
              </w:rPr>
              <w:t>32</w:t>
            </w:r>
          </w:p>
        </w:tc>
        <w:tc>
          <w:tcPr>
            <w:tcW w:w="240" w:type="dxa"/>
            <w:vAlign w:val="bottom"/>
            <w:tcBorders>
              <w:bottom w:val="single" w:sz="8" w:color="CCEEFF"/>
            </w:tcBorders>
            <w:shd w:val="clear" w:color="auto" w:fill="CCEEFF"/>
          </w:tcPr>
          <w:p>
            <w:pPr>
              <w:spacing w:after="0"/>
              <w:rPr>
                <w:sz w:val="17"/>
                <w:szCs w:val="17"/>
                <w:color w:val="auto"/>
              </w:rPr>
            </w:pPr>
          </w:p>
        </w:tc>
      </w:tr>
      <w:tr>
        <w:trPr>
          <w:trHeight w:val="175"/>
        </w:trPr>
        <w:tc>
          <w:tcPr>
            <w:tcW w:w="160" w:type="dxa"/>
            <w:vAlign w:val="bottom"/>
          </w:tcPr>
          <w:p>
            <w:pPr>
              <w:spacing w:after="0"/>
              <w:rPr>
                <w:sz w:val="15"/>
                <w:szCs w:val="15"/>
                <w:color w:val="auto"/>
              </w:rPr>
            </w:pPr>
          </w:p>
        </w:tc>
        <w:tc>
          <w:tcPr>
            <w:tcW w:w="10440" w:type="dxa"/>
            <w:vAlign w:val="bottom"/>
            <w:gridSpan w:val="49"/>
          </w:tcPr>
          <w:p>
            <w:pPr>
              <w:ind w:left="20"/>
              <w:spacing w:after="0" w:line="176" w:lineRule="exact"/>
              <w:rPr>
                <w:sz w:val="20"/>
                <w:szCs w:val="20"/>
                <w:color w:val="auto"/>
              </w:rPr>
            </w:pPr>
            <w:r>
              <w:rPr>
                <w:rFonts w:ascii="Times New Roman" w:cs="Times New Roman" w:eastAsia="Times New Roman" w:hAnsi="Times New Roman"/>
                <w:sz w:val="18"/>
                <w:szCs w:val="18"/>
                <w:color w:val="0000EE"/>
              </w:rPr>
              <w:t>Chief Executive Officer Pay Ratio</w:t>
            </w:r>
          </w:p>
        </w:tc>
        <w:tc>
          <w:tcPr>
            <w:tcW w:w="400" w:type="dxa"/>
            <w:vAlign w:val="bottom"/>
            <w:gridSpan w:val="5"/>
          </w:tcPr>
          <w:p>
            <w:pPr>
              <w:jc w:val="center"/>
              <w:ind w:left="130"/>
              <w:spacing w:after="0" w:line="176" w:lineRule="exact"/>
              <w:rPr>
                <w:sz w:val="20"/>
                <w:szCs w:val="20"/>
                <w:color w:val="auto"/>
              </w:rPr>
            </w:pPr>
            <w:r>
              <w:rPr>
                <w:rFonts w:ascii="Times New Roman" w:cs="Times New Roman" w:eastAsia="Times New Roman" w:hAnsi="Times New Roman"/>
                <w:sz w:val="18"/>
                <w:szCs w:val="18"/>
                <w:color w:val="0000EE"/>
                <w:w w:val="99"/>
              </w:rPr>
              <w:t>34</w:t>
            </w:r>
          </w:p>
        </w:tc>
        <w:tc>
          <w:tcPr>
            <w:tcW w:w="240" w:type="dxa"/>
            <w:vAlign w:val="bottom"/>
          </w:tcPr>
          <w:p>
            <w:pPr>
              <w:spacing w:after="0"/>
              <w:rPr>
                <w:sz w:val="15"/>
                <w:szCs w:val="15"/>
                <w:color w:val="auto"/>
              </w:rPr>
            </w:pPr>
          </w:p>
        </w:tc>
      </w:tr>
      <w:tr>
        <w:trPr>
          <w:trHeight w:val="21"/>
        </w:trPr>
        <w:tc>
          <w:tcPr>
            <w:tcW w:w="160" w:type="dxa"/>
            <w:vAlign w:val="bottom"/>
          </w:tcPr>
          <w:p>
            <w:pPr>
              <w:spacing w:after="0" w:line="20" w:lineRule="exact"/>
              <w:rPr>
                <w:sz w:val="1"/>
                <w:szCs w:val="1"/>
                <w:color w:val="auto"/>
              </w:rPr>
            </w:pPr>
          </w:p>
        </w:tc>
        <w:tc>
          <w:tcPr>
            <w:tcW w:w="2480" w:type="dxa"/>
            <w:vAlign w:val="bottom"/>
            <w:tcBorders>
              <w:top w:val="single" w:sz="8" w:color="0000EE"/>
            </w:tcBorders>
            <w:gridSpan w:val="17"/>
          </w:tcPr>
          <w:p>
            <w:pPr>
              <w:spacing w:after="0" w:line="20" w:lineRule="exact"/>
              <w:rPr>
                <w:sz w:val="1"/>
                <w:szCs w:val="1"/>
                <w:color w:val="auto"/>
              </w:rPr>
            </w:pPr>
          </w:p>
        </w:tc>
        <w:tc>
          <w:tcPr>
            <w:tcW w:w="8180" w:type="dxa"/>
            <w:vAlign w:val="bottom"/>
            <w:gridSpan w:val="33"/>
          </w:tcPr>
          <w:p>
            <w:pPr>
              <w:spacing w:after="0" w:line="20" w:lineRule="exact"/>
              <w:rPr>
                <w:sz w:val="1"/>
                <w:szCs w:val="1"/>
                <w:color w:val="auto"/>
              </w:rPr>
            </w:pPr>
          </w:p>
        </w:tc>
        <w:tc>
          <w:tcPr>
            <w:tcW w:w="180" w:type="dxa"/>
            <w:vAlign w:val="bottom"/>
            <w:tcBorders>
              <w:top w:val="single" w:sz="8" w:color="0000EE"/>
            </w:tcBorders>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2220" w:type="dxa"/>
            <w:vAlign w:val="bottom"/>
            <w:tcBorders>
              <w:bottom w:val="single" w:sz="8" w:color="0000EE"/>
            </w:tcBorders>
            <w:gridSpan w:val="14"/>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7"/>
              </w:rPr>
              <w:t>Pay Versus Performance Table</w:t>
            </w:r>
          </w:p>
        </w:tc>
        <w:tc>
          <w:tcPr>
            <w:tcW w:w="8220" w:type="dxa"/>
            <w:vAlign w:val="bottom"/>
            <w:tcBorders>
              <w:bottom w:val="single" w:sz="8" w:color="CCEEFF"/>
            </w:tcBorders>
            <w:gridSpan w:val="35"/>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4"/>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0000EE"/>
                <w:w w:val="99"/>
              </w:rPr>
              <w:t>34</w:t>
            </w:r>
          </w:p>
        </w:tc>
        <w:tc>
          <w:tcPr>
            <w:tcW w:w="240" w:type="dxa"/>
            <w:vAlign w:val="bottom"/>
            <w:tcBorders>
              <w:bottom w:val="single" w:sz="8" w:color="CCEEFF"/>
            </w:tcBorders>
            <w:shd w:val="clear" w:color="auto" w:fill="CCEEFF"/>
          </w:tcPr>
          <w:p>
            <w:pPr>
              <w:spacing w:after="0"/>
              <w:rPr>
                <w:sz w:val="17"/>
                <w:szCs w:val="17"/>
                <w:color w:val="auto"/>
              </w:rPr>
            </w:pPr>
          </w:p>
        </w:tc>
      </w:tr>
      <w:tr>
        <w:trPr>
          <w:trHeight w:val="176"/>
        </w:trPr>
        <w:tc>
          <w:tcPr>
            <w:tcW w:w="10600" w:type="dxa"/>
            <w:vAlign w:val="bottom"/>
            <w:gridSpan w:val="50"/>
          </w:tcPr>
          <w:p>
            <w:pPr>
              <w:spacing w:after="0" w:line="176" w:lineRule="exact"/>
              <w:rPr>
                <w:sz w:val="20"/>
                <w:szCs w:val="20"/>
                <w:color w:val="auto"/>
              </w:rPr>
            </w:pPr>
            <w:r>
              <w:rPr>
                <w:rFonts w:ascii="Times New Roman" w:cs="Times New Roman" w:eastAsia="Times New Roman" w:hAnsi="Times New Roman"/>
                <w:sz w:val="18"/>
                <w:szCs w:val="18"/>
                <w:color w:val="0000EE"/>
              </w:rPr>
              <w:t>RELATED PARTY TRANSACTIONS AND CERTAIN RELATIONSHIPS</w:t>
            </w:r>
          </w:p>
        </w:tc>
        <w:tc>
          <w:tcPr>
            <w:tcW w:w="400" w:type="dxa"/>
            <w:vAlign w:val="bottom"/>
            <w:gridSpan w:val="5"/>
          </w:tcPr>
          <w:p>
            <w:pPr>
              <w:jc w:val="center"/>
              <w:ind w:left="130"/>
              <w:spacing w:after="0" w:line="176" w:lineRule="exact"/>
              <w:rPr>
                <w:sz w:val="20"/>
                <w:szCs w:val="20"/>
                <w:color w:val="auto"/>
              </w:rPr>
            </w:pPr>
            <w:r>
              <w:rPr>
                <w:rFonts w:ascii="Times New Roman" w:cs="Times New Roman" w:eastAsia="Times New Roman" w:hAnsi="Times New Roman"/>
                <w:sz w:val="18"/>
                <w:szCs w:val="18"/>
                <w:color w:val="0000EE"/>
                <w:w w:val="99"/>
              </w:rPr>
              <w:t>38</w:t>
            </w:r>
          </w:p>
        </w:tc>
        <w:tc>
          <w:tcPr>
            <w:tcW w:w="240" w:type="dxa"/>
            <w:vAlign w:val="bottom"/>
          </w:tcPr>
          <w:p>
            <w:pPr>
              <w:spacing w:after="0"/>
              <w:rPr>
                <w:sz w:val="15"/>
                <w:szCs w:val="15"/>
                <w:color w:val="auto"/>
              </w:rPr>
            </w:pPr>
          </w:p>
        </w:tc>
      </w:tr>
      <w:tr>
        <w:trPr>
          <w:trHeight w:val="20"/>
        </w:trPr>
        <w:tc>
          <w:tcPr>
            <w:tcW w:w="5480" w:type="dxa"/>
            <w:vAlign w:val="bottom"/>
            <w:tcBorders>
              <w:top w:val="single" w:sz="8" w:color="0000EE"/>
            </w:tcBorders>
            <w:gridSpan w:val="45"/>
          </w:tcPr>
          <w:p>
            <w:pPr>
              <w:spacing w:after="0" w:line="20" w:lineRule="exact"/>
              <w:rPr>
                <w:sz w:val="1"/>
                <w:szCs w:val="1"/>
                <w:color w:val="auto"/>
              </w:rPr>
            </w:pPr>
          </w:p>
        </w:tc>
        <w:tc>
          <w:tcPr>
            <w:tcW w:w="5340" w:type="dxa"/>
            <w:vAlign w:val="bottom"/>
            <w:gridSpan w:val="6"/>
          </w:tcPr>
          <w:p>
            <w:pPr>
              <w:spacing w:after="0" w:line="20" w:lineRule="exact"/>
              <w:rPr>
                <w:sz w:val="1"/>
                <w:szCs w:val="1"/>
                <w:color w:val="auto"/>
              </w:rPr>
            </w:pPr>
          </w:p>
        </w:tc>
        <w:tc>
          <w:tcPr>
            <w:tcW w:w="180" w:type="dxa"/>
            <w:vAlign w:val="bottom"/>
            <w:tcBorders>
              <w:top w:val="single" w:sz="8" w:color="0000EE"/>
            </w:tcBorders>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76"/>
        </w:trPr>
        <w:tc>
          <w:tcPr>
            <w:tcW w:w="10600" w:type="dxa"/>
            <w:vAlign w:val="bottom"/>
            <w:gridSpan w:val="5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PROPOSAL II: ADVISORY VOTE ON EXECUTIVE COMPENSATION</w:t>
            </w:r>
          </w:p>
        </w:tc>
        <w:tc>
          <w:tcPr>
            <w:tcW w:w="400" w:type="dxa"/>
            <w:vAlign w:val="bottom"/>
            <w:gridSpan w:val="5"/>
            <w:shd w:val="clear" w:color="auto" w:fill="CCEEFF"/>
          </w:tcPr>
          <w:p>
            <w:pPr>
              <w:jc w:val="center"/>
              <w:ind w:left="130"/>
              <w:spacing w:after="0" w:line="176" w:lineRule="exact"/>
              <w:rPr>
                <w:sz w:val="20"/>
                <w:szCs w:val="20"/>
                <w:color w:val="auto"/>
              </w:rPr>
            </w:pPr>
            <w:r>
              <w:rPr>
                <w:rFonts w:ascii="Times New Roman" w:cs="Times New Roman" w:eastAsia="Times New Roman" w:hAnsi="Times New Roman"/>
                <w:sz w:val="18"/>
                <w:szCs w:val="18"/>
                <w:color w:val="0000EE"/>
                <w:w w:val="99"/>
              </w:rPr>
              <w:t>39</w:t>
            </w:r>
          </w:p>
        </w:tc>
        <w:tc>
          <w:tcPr>
            <w:tcW w:w="240" w:type="dxa"/>
            <w:vAlign w:val="bottom"/>
            <w:shd w:val="clear" w:color="auto" w:fill="CCEEFF"/>
          </w:tcPr>
          <w:p>
            <w:pPr>
              <w:spacing w:after="0"/>
              <w:rPr>
                <w:sz w:val="15"/>
                <w:szCs w:val="15"/>
                <w:color w:val="auto"/>
              </w:rPr>
            </w:pPr>
          </w:p>
        </w:tc>
      </w:tr>
      <w:tr>
        <w:trPr>
          <w:trHeight w:val="20"/>
        </w:trPr>
        <w:tc>
          <w:tcPr>
            <w:tcW w:w="5420" w:type="dxa"/>
            <w:vAlign w:val="bottom"/>
            <w:tcBorders>
              <w:top w:val="single" w:sz="8" w:color="0000EE"/>
            </w:tcBorders>
            <w:gridSpan w:val="44"/>
            <w:shd w:val="clear" w:color="auto" w:fill="CCEEFF"/>
          </w:tcPr>
          <w:p>
            <w:pPr>
              <w:spacing w:after="0" w:line="20" w:lineRule="exact"/>
              <w:rPr>
                <w:sz w:val="1"/>
                <w:szCs w:val="1"/>
                <w:color w:val="auto"/>
              </w:rPr>
            </w:pPr>
          </w:p>
        </w:tc>
        <w:tc>
          <w:tcPr>
            <w:tcW w:w="5400" w:type="dxa"/>
            <w:vAlign w:val="bottom"/>
            <w:tcBorders>
              <w:top w:val="single" w:sz="8" w:color="CCEEFF"/>
            </w:tcBorders>
            <w:gridSpan w:val="7"/>
            <w:shd w:val="clear" w:color="auto" w:fill="CCEEFF"/>
          </w:tcPr>
          <w:p>
            <w:pPr>
              <w:spacing w:after="0" w:line="20" w:lineRule="exact"/>
              <w:rPr>
                <w:sz w:val="1"/>
                <w:szCs w:val="1"/>
                <w:color w:val="auto"/>
              </w:rPr>
            </w:pPr>
          </w:p>
        </w:tc>
        <w:tc>
          <w:tcPr>
            <w:tcW w:w="180" w:type="dxa"/>
            <w:vAlign w:val="bottom"/>
            <w:tcBorders>
              <w:top w:val="single" w:sz="8" w:color="0000EE"/>
            </w:tcBorders>
            <w:gridSpan w:val="4"/>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780" w:type="dxa"/>
            <w:vAlign w:val="bottom"/>
            <w:tcBorders>
              <w:bottom w:val="single" w:sz="8" w:color="0000EE"/>
            </w:tcBorders>
            <w:gridSpan w:val="49"/>
          </w:tcPr>
          <w:p>
            <w:pPr>
              <w:spacing w:after="0" w:line="176" w:lineRule="exact"/>
              <w:rPr>
                <w:sz w:val="20"/>
                <w:szCs w:val="20"/>
                <w:color w:val="auto"/>
              </w:rPr>
            </w:pPr>
            <w:r>
              <w:rPr>
                <w:rFonts w:ascii="Times New Roman" w:cs="Times New Roman" w:eastAsia="Times New Roman" w:hAnsi="Times New Roman"/>
                <w:sz w:val="18"/>
                <w:szCs w:val="18"/>
                <w:color w:val="0000EE"/>
                <w:w w:val="99"/>
              </w:rPr>
              <w:t>PROPOSAL III: ADVISORY VOTE ON FREQUENCY OF ADVISORY VOTES ON EXECUTIVE COMPENSATION</w:t>
            </w:r>
          </w:p>
        </w:tc>
        <w:tc>
          <w:tcPr>
            <w:tcW w:w="1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bottom w:val="single" w:sz="8" w:color="0000EE"/>
            </w:tcBorders>
            <w:gridSpan w:val="4"/>
          </w:tcPr>
          <w:p>
            <w:pPr>
              <w:jc w:val="center"/>
              <w:spacing w:after="0" w:line="176" w:lineRule="exact"/>
              <w:rPr>
                <w:sz w:val="20"/>
                <w:szCs w:val="20"/>
                <w:color w:val="auto"/>
              </w:rPr>
            </w:pPr>
            <w:r>
              <w:rPr>
                <w:rFonts w:ascii="Times New Roman" w:cs="Times New Roman" w:eastAsia="Times New Roman" w:hAnsi="Times New Roman"/>
                <w:sz w:val="18"/>
                <w:szCs w:val="18"/>
                <w:color w:val="0000EE"/>
                <w:w w:val="99"/>
              </w:rPr>
              <w:t>40</w:t>
            </w:r>
          </w:p>
        </w:tc>
        <w:tc>
          <w:tcPr>
            <w:tcW w:w="240" w:type="dxa"/>
            <w:vAlign w:val="bottom"/>
          </w:tcPr>
          <w:p>
            <w:pPr>
              <w:spacing w:after="0"/>
              <w:rPr>
                <w:sz w:val="15"/>
                <w:szCs w:val="15"/>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0600" w:type="dxa"/>
            <w:vAlign w:val="bottom"/>
            <w:tcBorders>
              <w:bottom w:val="single" w:sz="8" w:color="0000EE"/>
            </w:tcBorders>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0000EE"/>
              </w:rPr>
              <w:t>PROPOSAL IV: APPROVAL OF AMENDMENT AND RESTATEMENT OF THE SURO CAPITAL CORP. AMENDED AND RESTATED</w:t>
            </w:r>
          </w:p>
        </w:tc>
        <w:tc>
          <w:tcPr>
            <w:tcW w:w="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gridSpan w:val="2"/>
            <w:shd w:val="clear" w:color="auto" w:fill="CCEEFF"/>
          </w:tcPr>
          <w:p>
            <w:pPr>
              <w:spacing w:after="0"/>
              <w:rPr>
                <w:sz w:val="17"/>
                <w:szCs w:val="17"/>
                <w:color w:val="auto"/>
              </w:rPr>
            </w:pPr>
          </w:p>
        </w:tc>
        <w:tc>
          <w:tcPr>
            <w:tcW w:w="180" w:type="dxa"/>
            <w:vAlign w:val="bottom"/>
            <w:tcBorders>
              <w:bottom w:val="single" w:sz="8" w:color="0000EE"/>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EE"/>
                <w:w w:val="99"/>
              </w:rPr>
              <w:t>41</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r>
      <w:tr>
        <w:trPr>
          <w:trHeight w:val="196"/>
        </w:trPr>
        <w:tc>
          <w:tcPr>
            <w:tcW w:w="10660" w:type="dxa"/>
            <w:vAlign w:val="bottom"/>
            <w:gridSpan w:val="1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2019 EQUITY INCENTIVE PLAN</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
        </w:trPr>
        <w:tc>
          <w:tcPr>
            <w:tcW w:w="16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6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PROPOSAL V: RATIFICATION OF SELECTION OF INDEPENDENT REGISTERED PUBLIC ACCOUNTING FIRM</w:t>
            </w:r>
          </w:p>
        </w:tc>
        <w:tc>
          <w:tcPr>
            <w:tcW w:w="340" w:type="dxa"/>
            <w:vAlign w:val="bottom"/>
            <w:gridSpan w:val="3"/>
          </w:tcPr>
          <w:p>
            <w:pPr>
              <w:jc w:val="center"/>
              <w:ind w:left="70"/>
              <w:spacing w:after="0" w:line="176" w:lineRule="exact"/>
              <w:rPr>
                <w:sz w:val="20"/>
                <w:szCs w:val="20"/>
                <w:color w:val="auto"/>
              </w:rPr>
            </w:pPr>
            <w:r>
              <w:rPr>
                <w:rFonts w:ascii="Times New Roman" w:cs="Times New Roman" w:eastAsia="Times New Roman" w:hAnsi="Times New Roman"/>
                <w:sz w:val="18"/>
                <w:szCs w:val="18"/>
                <w:color w:val="0000EE"/>
                <w:w w:val="99"/>
              </w:rPr>
              <w:t>47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960" w:type="dxa"/>
            <w:vAlign w:val="bottom"/>
            <w:tcBorders>
              <w:top w:val="single" w:sz="8" w:color="0000EE"/>
            </w:tcBorders>
          </w:tcPr>
          <w:p>
            <w:pPr>
              <w:spacing w:after="0" w:line="20" w:lineRule="exact"/>
              <w:rPr>
                <w:sz w:val="1"/>
                <w:szCs w:val="1"/>
                <w:color w:val="auto"/>
              </w:rPr>
            </w:pPr>
          </w:p>
        </w:tc>
        <w:tc>
          <w:tcPr>
            <w:tcW w:w="216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76"/>
        </w:trPr>
        <w:tc>
          <w:tcPr>
            <w:tcW w:w="1066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AUDIT COMMITTEE REPORT</w:t>
            </w:r>
          </w:p>
        </w:tc>
        <w:tc>
          <w:tcPr>
            <w:tcW w:w="340" w:type="dxa"/>
            <w:vAlign w:val="bottom"/>
            <w:gridSpan w:val="3"/>
            <w:shd w:val="clear" w:color="auto" w:fill="CCEEFF"/>
          </w:tcPr>
          <w:p>
            <w:pPr>
              <w:jc w:val="center"/>
              <w:ind w:left="70"/>
              <w:spacing w:after="0" w:line="176" w:lineRule="exact"/>
              <w:rPr>
                <w:sz w:val="20"/>
                <w:szCs w:val="20"/>
                <w:color w:val="auto"/>
              </w:rPr>
            </w:pPr>
            <w:r>
              <w:rPr>
                <w:rFonts w:ascii="Times New Roman" w:cs="Times New Roman" w:eastAsia="Times New Roman" w:hAnsi="Times New Roman"/>
                <w:sz w:val="18"/>
                <w:szCs w:val="18"/>
                <w:color w:val="0000EE"/>
                <w:w w:val="99"/>
              </w:rPr>
              <w:t>48</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0"/>
        </w:trPr>
        <w:tc>
          <w:tcPr>
            <w:tcW w:w="16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60" w:type="dxa"/>
            <w:vAlign w:val="bottom"/>
          </w:tcPr>
          <w:p>
            <w:pPr>
              <w:spacing w:after="0"/>
              <w:rPr>
                <w:sz w:val="15"/>
                <w:szCs w:val="15"/>
                <w:color w:val="auto"/>
              </w:rPr>
            </w:pPr>
          </w:p>
        </w:tc>
        <w:tc>
          <w:tcPr>
            <w:tcW w:w="10500" w:type="dxa"/>
            <w:vAlign w:val="bottom"/>
            <w:gridSpan w:val="13"/>
          </w:tcPr>
          <w:p>
            <w:pPr>
              <w:ind w:left="20"/>
              <w:spacing w:after="0" w:line="176" w:lineRule="exact"/>
              <w:rPr>
                <w:sz w:val="20"/>
                <w:szCs w:val="20"/>
                <w:color w:val="auto"/>
              </w:rPr>
            </w:pPr>
            <w:r>
              <w:rPr>
                <w:rFonts w:ascii="Times New Roman" w:cs="Times New Roman" w:eastAsia="Times New Roman" w:hAnsi="Times New Roman"/>
                <w:sz w:val="18"/>
                <w:szCs w:val="18"/>
                <w:color w:val="0000EE"/>
              </w:rPr>
              <w:t>Pre-Approval Policies and Procedures</w:t>
            </w:r>
          </w:p>
        </w:tc>
        <w:tc>
          <w:tcPr>
            <w:tcW w:w="340" w:type="dxa"/>
            <w:vAlign w:val="bottom"/>
            <w:gridSpan w:val="3"/>
          </w:tcPr>
          <w:p>
            <w:pPr>
              <w:jc w:val="center"/>
              <w:ind w:left="70"/>
              <w:spacing w:after="0" w:line="176" w:lineRule="exact"/>
              <w:rPr>
                <w:sz w:val="20"/>
                <w:szCs w:val="20"/>
                <w:color w:val="auto"/>
              </w:rPr>
            </w:pPr>
            <w:r>
              <w:rPr>
                <w:rFonts w:ascii="Times New Roman" w:cs="Times New Roman" w:eastAsia="Times New Roman" w:hAnsi="Times New Roman"/>
                <w:sz w:val="18"/>
                <w:szCs w:val="18"/>
                <w:color w:val="0000EE"/>
                <w:w w:val="99"/>
              </w:rPr>
              <w:t>48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1"/>
        </w:trPr>
        <w:tc>
          <w:tcPr>
            <w:tcW w:w="16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76"/>
        </w:trPr>
        <w:tc>
          <w:tcPr>
            <w:tcW w:w="160" w:type="dxa"/>
            <w:vAlign w:val="bottom"/>
            <w:shd w:val="clear" w:color="auto" w:fill="CCEEFF"/>
          </w:tcPr>
          <w:p>
            <w:pPr>
              <w:spacing w:after="0"/>
              <w:rPr>
                <w:sz w:val="15"/>
                <w:szCs w:val="15"/>
                <w:color w:val="auto"/>
              </w:rPr>
            </w:pPr>
          </w:p>
        </w:tc>
        <w:tc>
          <w:tcPr>
            <w:tcW w:w="10500" w:type="dxa"/>
            <w:vAlign w:val="bottom"/>
            <w:gridSpan w:val="1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Review with Management</w:t>
            </w:r>
          </w:p>
        </w:tc>
        <w:tc>
          <w:tcPr>
            <w:tcW w:w="340" w:type="dxa"/>
            <w:vAlign w:val="bottom"/>
            <w:gridSpan w:val="3"/>
            <w:shd w:val="clear" w:color="auto" w:fill="CCEEFF"/>
          </w:tcPr>
          <w:p>
            <w:pPr>
              <w:jc w:val="center"/>
              <w:ind w:left="70"/>
              <w:spacing w:after="0" w:line="176" w:lineRule="exact"/>
              <w:rPr>
                <w:sz w:val="20"/>
                <w:szCs w:val="20"/>
                <w:color w:val="auto"/>
              </w:rPr>
            </w:pPr>
            <w:r>
              <w:rPr>
                <w:rFonts w:ascii="Times New Roman" w:cs="Times New Roman" w:eastAsia="Times New Roman" w:hAnsi="Times New Roman"/>
                <w:sz w:val="18"/>
                <w:szCs w:val="18"/>
                <w:color w:val="0000EE"/>
                <w:w w:val="99"/>
              </w:rPr>
              <w:t>48</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1"/>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60" w:type="dxa"/>
            <w:vAlign w:val="bottom"/>
          </w:tcPr>
          <w:p>
            <w:pPr>
              <w:spacing w:after="0"/>
              <w:rPr>
                <w:sz w:val="15"/>
                <w:szCs w:val="15"/>
                <w:color w:val="auto"/>
              </w:rPr>
            </w:pPr>
          </w:p>
        </w:tc>
        <w:tc>
          <w:tcPr>
            <w:tcW w:w="10500" w:type="dxa"/>
            <w:vAlign w:val="bottom"/>
            <w:gridSpan w:val="13"/>
          </w:tcPr>
          <w:p>
            <w:pPr>
              <w:ind w:left="20"/>
              <w:spacing w:after="0" w:line="176" w:lineRule="exact"/>
              <w:rPr>
                <w:sz w:val="20"/>
                <w:szCs w:val="20"/>
                <w:color w:val="auto"/>
              </w:rPr>
            </w:pPr>
            <w:r>
              <w:rPr>
                <w:rFonts w:ascii="Times New Roman" w:cs="Times New Roman" w:eastAsia="Times New Roman" w:hAnsi="Times New Roman"/>
                <w:sz w:val="18"/>
                <w:szCs w:val="18"/>
                <w:color w:val="0000EE"/>
              </w:rPr>
              <w:t>Review and Discussion with Independent Registered Public Accounting Firm</w:t>
            </w:r>
          </w:p>
        </w:tc>
        <w:tc>
          <w:tcPr>
            <w:tcW w:w="340" w:type="dxa"/>
            <w:vAlign w:val="bottom"/>
            <w:gridSpan w:val="3"/>
          </w:tcPr>
          <w:p>
            <w:pPr>
              <w:jc w:val="center"/>
              <w:ind w:left="70"/>
              <w:spacing w:after="0" w:line="176" w:lineRule="exact"/>
              <w:rPr>
                <w:sz w:val="20"/>
                <w:szCs w:val="20"/>
                <w:color w:val="auto"/>
              </w:rPr>
            </w:pPr>
            <w:r>
              <w:rPr>
                <w:rFonts w:ascii="Times New Roman" w:cs="Times New Roman" w:eastAsia="Times New Roman" w:hAnsi="Times New Roman"/>
                <w:sz w:val="18"/>
                <w:szCs w:val="18"/>
                <w:color w:val="0000EE"/>
                <w:w w:val="99"/>
              </w:rPr>
              <w:t>48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1"/>
        </w:trPr>
        <w:tc>
          <w:tcPr>
            <w:tcW w:w="16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960" w:type="dxa"/>
            <w:vAlign w:val="bottom"/>
            <w:tcBorders>
              <w:top w:val="single" w:sz="8" w:color="0000EE"/>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75"/>
        </w:trPr>
        <w:tc>
          <w:tcPr>
            <w:tcW w:w="160" w:type="dxa"/>
            <w:vAlign w:val="bottom"/>
            <w:shd w:val="clear" w:color="auto" w:fill="CCEEFF"/>
          </w:tcPr>
          <w:p>
            <w:pPr>
              <w:spacing w:after="0"/>
              <w:rPr>
                <w:sz w:val="15"/>
                <w:szCs w:val="15"/>
                <w:color w:val="auto"/>
              </w:rPr>
            </w:pPr>
          </w:p>
        </w:tc>
        <w:tc>
          <w:tcPr>
            <w:tcW w:w="10500" w:type="dxa"/>
            <w:vAlign w:val="bottom"/>
            <w:gridSpan w:val="1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Conclusion</w:t>
            </w:r>
          </w:p>
        </w:tc>
        <w:tc>
          <w:tcPr>
            <w:tcW w:w="340" w:type="dxa"/>
            <w:vAlign w:val="bottom"/>
            <w:gridSpan w:val="3"/>
            <w:shd w:val="clear" w:color="auto" w:fill="CCEEFF"/>
          </w:tcPr>
          <w:p>
            <w:pPr>
              <w:jc w:val="center"/>
              <w:ind w:left="70"/>
              <w:spacing w:after="0" w:line="176" w:lineRule="exact"/>
              <w:rPr>
                <w:sz w:val="20"/>
                <w:szCs w:val="20"/>
                <w:color w:val="auto"/>
              </w:rPr>
            </w:pPr>
            <w:r>
              <w:rPr>
                <w:rFonts w:ascii="Times New Roman" w:cs="Times New Roman" w:eastAsia="Times New Roman" w:hAnsi="Times New Roman"/>
                <w:sz w:val="18"/>
                <w:szCs w:val="18"/>
                <w:color w:val="0000EE"/>
                <w:w w:val="99"/>
              </w:rPr>
              <w:t>48</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1"/>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6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OTHER BUSINESS</w:t>
            </w:r>
          </w:p>
        </w:tc>
        <w:tc>
          <w:tcPr>
            <w:tcW w:w="340" w:type="dxa"/>
            <w:vAlign w:val="bottom"/>
            <w:gridSpan w:val="3"/>
          </w:tcPr>
          <w:p>
            <w:pPr>
              <w:jc w:val="center"/>
              <w:ind w:left="70"/>
              <w:spacing w:after="0" w:line="176" w:lineRule="exact"/>
              <w:rPr>
                <w:sz w:val="20"/>
                <w:szCs w:val="20"/>
                <w:color w:val="auto"/>
              </w:rPr>
            </w:pPr>
            <w:r>
              <w:rPr>
                <w:rFonts w:ascii="Times New Roman" w:cs="Times New Roman" w:eastAsia="Times New Roman" w:hAnsi="Times New Roman"/>
                <w:sz w:val="18"/>
                <w:szCs w:val="18"/>
                <w:color w:val="0000EE"/>
                <w:w w:val="99"/>
              </w:rPr>
              <w:t>50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380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SUBMISSION OF STOCKHOLDER PROPOSALS</w:t>
            </w:r>
          </w:p>
        </w:tc>
        <w:tc>
          <w:tcPr>
            <w:tcW w:w="6860" w:type="dxa"/>
            <w:vAlign w:val="bottom"/>
            <w:tcBorders>
              <w:bottom w:val="single" w:sz="8" w:color="CCEEFF"/>
            </w:tcBorders>
            <w:gridSpan w:val="5"/>
            <w:shd w:val="clear" w:color="auto" w:fill="CCEEFF"/>
          </w:tcPr>
          <w:p>
            <w:pPr>
              <w:spacing w:after="0"/>
              <w:rPr>
                <w:sz w:val="17"/>
                <w:szCs w:val="17"/>
                <w:color w:val="auto"/>
              </w:rPr>
            </w:pPr>
          </w:p>
        </w:tc>
        <w:tc>
          <w:tcPr>
            <w:tcW w:w="160" w:type="dxa"/>
            <w:vAlign w:val="bottom"/>
            <w:tcBorders>
              <w:bottom w:val="single" w:sz="8" w:color="CCEEFF"/>
            </w:tcBorders>
            <w:gridSpan w:val="2"/>
            <w:shd w:val="clear" w:color="auto" w:fill="CCEEFF"/>
          </w:tcPr>
          <w:p>
            <w:pPr>
              <w:spacing w:after="0"/>
              <w:rPr>
                <w:sz w:val="17"/>
                <w:szCs w:val="17"/>
                <w:color w:val="auto"/>
              </w:rPr>
            </w:pPr>
          </w:p>
        </w:tc>
        <w:tc>
          <w:tcPr>
            <w:tcW w:w="180" w:type="dxa"/>
            <w:vAlign w:val="bottom"/>
            <w:tcBorders>
              <w:bottom w:val="single" w:sz="8" w:color="0000EE"/>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0000EE"/>
                <w:w w:val="99"/>
              </w:rPr>
              <w:t>51</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r>
      <w:tr>
        <w:trPr>
          <w:trHeight w:val="176"/>
        </w:trPr>
        <w:tc>
          <w:tcPr>
            <w:tcW w:w="1066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PRIVACY NOTICE</w:t>
            </w:r>
          </w:p>
        </w:tc>
        <w:tc>
          <w:tcPr>
            <w:tcW w:w="340" w:type="dxa"/>
            <w:vAlign w:val="bottom"/>
            <w:gridSpan w:val="3"/>
          </w:tcPr>
          <w:p>
            <w:pPr>
              <w:jc w:val="center"/>
              <w:ind w:left="70"/>
              <w:spacing w:after="0" w:line="176" w:lineRule="exact"/>
              <w:rPr>
                <w:sz w:val="20"/>
                <w:szCs w:val="20"/>
                <w:color w:val="auto"/>
              </w:rPr>
            </w:pPr>
            <w:r>
              <w:rPr>
                <w:rFonts w:ascii="Times New Roman" w:cs="Times New Roman" w:eastAsia="Times New Roman" w:hAnsi="Times New Roman"/>
                <w:sz w:val="18"/>
                <w:szCs w:val="18"/>
                <w:color w:val="0000EE"/>
                <w:w w:val="99"/>
              </w:rPr>
              <w:t>52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75"/>
        </w:trPr>
        <w:tc>
          <w:tcPr>
            <w:tcW w:w="1066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APPENDIX A: SURO CAPITAL CORP. AMENDED AND RESTATED 2019 EQUITY INCENTIVE PLAN</w:t>
            </w:r>
          </w:p>
        </w:tc>
        <w:tc>
          <w:tcPr>
            <w:tcW w:w="580" w:type="dxa"/>
            <w:vAlign w:val="bottom"/>
            <w:gridSpan w:val="5"/>
            <w:shd w:val="clear" w:color="auto" w:fill="CCEEFF"/>
          </w:tcPr>
          <w:p>
            <w:pPr>
              <w:jc w:val="center"/>
              <w:ind w:right="80"/>
              <w:spacing w:after="0" w:line="176" w:lineRule="exact"/>
              <w:rPr>
                <w:sz w:val="20"/>
                <w:szCs w:val="20"/>
                <w:color w:val="auto"/>
              </w:rPr>
            </w:pPr>
            <w:r>
              <w:rPr>
                <w:rFonts w:ascii="Times New Roman" w:cs="Times New Roman" w:eastAsia="Times New Roman" w:hAnsi="Times New Roman"/>
                <w:sz w:val="18"/>
                <w:szCs w:val="18"/>
                <w:color w:val="0000EE"/>
                <w:w w:val="94"/>
              </w:rPr>
              <w:t>A - 1</w:t>
            </w:r>
          </w:p>
        </w:tc>
      </w:tr>
      <w:tr>
        <w:trPr>
          <w:trHeight w:val="21"/>
        </w:trPr>
        <w:tc>
          <w:tcPr>
            <w:tcW w:w="16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1960" w:type="dxa"/>
            <w:vAlign w:val="bottom"/>
            <w:tcBorders>
              <w:top w:val="single" w:sz="8" w:color="0000EE"/>
            </w:tcBorders>
            <w:shd w:val="clear" w:color="auto" w:fill="CCEEFF"/>
          </w:tcPr>
          <w:p>
            <w:pPr>
              <w:spacing w:after="0" w:line="20" w:lineRule="exact"/>
              <w:rPr>
                <w:sz w:val="1"/>
                <w:szCs w:val="1"/>
                <w:color w:val="auto"/>
              </w:rPr>
            </w:pPr>
          </w:p>
        </w:tc>
        <w:tc>
          <w:tcPr>
            <w:tcW w:w="2160" w:type="dxa"/>
            <w:vAlign w:val="bottom"/>
            <w:tcBorders>
              <w:top w:val="single" w:sz="8" w:color="0000EE"/>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640 Fifth Avenue, 12th Floor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931-6331</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 Annual Meeting of Stockholders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May 28, 2025</w:t>
      </w:r>
    </w:p>
    <w:p>
      <w:pPr>
        <w:spacing w:after="0" w:line="207"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17"/>
          <w:szCs w:val="17"/>
          <w:color w:val="auto"/>
        </w:rPr>
        <w:t>This proxy statement (this “Proxy Statement”) is furnished in connection with the solicitation of proxies by the board of directors (the “Board of Directors”) of SuRo Capital Corp. (the “Company,” “SuRo Capital,” “we,” “us” or “our”) for use at the Company’s 2025 Annual Meeting of Stockholders (the “Annual Meeting”) to be held on May 28, 2025 at 9:00 a.m., Eastern Time, at the offices of Eversheds Sutherland (US) LLP, The Grace Building, 1114 Sixth Avenue, 40th Floor, New York, New York 10036, and at any postponements or adjournments thereof. This Proxy Statement and the accompanying proxy card are first being released to stockholders on or about April 11, 2025. In addition, a Notice of Internet Availability of Proxy Materials containing instructions on how to access this Proxy Statement and the Company’s annual report on Form 10-K for the fiscal year ended December 31, 2024 (the “Annual Report”), as well as how to submit proxies by telephone or through the internet, is being sent to stockholders on or about April 11, 2025.</w:t>
      </w:r>
    </w:p>
    <w:p>
      <w:pPr>
        <w:spacing w:after="0" w:line="16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encourage you to vote your shares either by voting in person at the Annual Meeting or by granting a proxy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authorizing someone to vote your shares). If you properly sign and date the accompanying proxy card, or otherwise provide voting instructions either via the internet or by telephone, and the Company receives such instructions by May 27, 2025 at 11:59 p.m. Eastern Time, the persons named as proxies will vote the shares registered directly in your name in the manner that you specified. Prior to the Annual Meeting or prior to any postponements or adjournments thereof, you may vote your shares electronically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xml:space="preserve"> or by calling 1-800-690-6903. Voting instructions are shown on the proxy card and the Notice of Internet Availability of Proxy Materials. </w:t>
      </w:r>
      <w:r>
        <w:rPr>
          <w:rFonts w:ascii="Times New Roman" w:cs="Times New Roman" w:eastAsia="Times New Roman" w:hAnsi="Times New Roman"/>
          <w:sz w:val="18"/>
          <w:szCs w:val="18"/>
          <w:b w:val="1"/>
          <w:bCs w:val="1"/>
          <w:color w:val="auto"/>
        </w:rPr>
        <w:t>If you give no instructions on the proxy card, the shares covered by the proxy card will be voted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the election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each of the nominees as directors of the Company,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the advisory vote on executive compensation, for recommending, in a non-binding vote, holding the advisory vote to approve the compensation of the Company’s named executive officers </w:t>
      </w:r>
      <w:r>
        <w:rPr>
          <w:rFonts w:ascii="Times New Roman" w:cs="Times New Roman" w:eastAsia="Times New Roman" w:hAnsi="Times New Roman"/>
          <w:sz w:val="18"/>
          <w:szCs w:val="18"/>
          <w:b w:val="1"/>
          <w:bCs w:val="1"/>
          <w:u w:val="single" w:color="auto"/>
          <w:color w:val="auto"/>
        </w:rPr>
        <w:t>every 1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the approval of the amendment and restatement of the Company’s Amended and Restated 2019 Equity Incentive Plan, and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the ratification of the selection of CBIZ CPAs P.C. to serve as the Company’s independent registered public accounting firm for the fiscal year ending December 31, 2025.</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you are a “stockholder of record”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you hold shares directly in your name), you may revoke a proxy at any time before it is exercised by notifying the proxy tabulator, Broadridge Financial Solutions, Inc., in writing, by submitting a properly executed, later-dated proxy, or by voting in person at the Annual Meeting or by voting by telephone or online at </w:t>
      </w:r>
      <w:r>
        <w:rPr>
          <w:rFonts w:ascii="Times New Roman" w:cs="Times New Roman" w:eastAsia="Times New Roman" w:hAnsi="Times New Roman"/>
          <w:sz w:val="18"/>
          <w:szCs w:val="18"/>
          <w:i w:val="1"/>
          <w:iCs w:val="1"/>
          <w:u w:val="single" w:color="auto"/>
          <w:color w:val="auto"/>
        </w:rPr>
        <w:t>www.proxyvote.com</w:t>
      </w:r>
      <w:r>
        <w:rPr>
          <w:rFonts w:ascii="Times New Roman" w:cs="Times New Roman" w:eastAsia="Times New Roman" w:hAnsi="Times New Roman"/>
          <w:sz w:val="18"/>
          <w:szCs w:val="18"/>
          <w:color w:val="auto"/>
        </w:rPr>
        <w:t>. Please send any such notice of revocation to SuRo Capital Corp., c/o Broadridge Financial Solutions, Inc., 51 Mercedes Way, Edgewood, New York 11717. Any stockholder of record attending the Annual Meeting may vote in person regardless of whether he or she has previously voted his or her shares. If your shares are held for your account by a broker, bank or other institution or nominee, you may vote such shares at the Annual Meeting only if you obtain and present proper written authority from your institution or nominee.</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If you do not vote in person at the Annual Meeting or submit voting instructions to your broker or nominee, your broker or nominee may still be authorized to vote your shares as to routine matters, which, in the case of the Annual Meeting, only applies to the proposal to ratify the appointment of our independent registered public accounting firm. For all other matters to be voted on at the Annual Meeting, the broker or nominee that holds your shares will need to obtain your authorization to vote those shares and has enclosed a voting instruction form with this Proxy Statement. </w:t>
      </w:r>
      <w:r>
        <w:rPr>
          <w:rFonts w:ascii="Times New Roman" w:cs="Times New Roman" w:eastAsia="Times New Roman" w:hAnsi="Times New Roman"/>
          <w:sz w:val="18"/>
          <w:szCs w:val="18"/>
          <w:b w:val="1"/>
          <w:bCs w:val="1"/>
          <w:color w:val="auto"/>
        </w:rPr>
        <w:t>Please instruct your bank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broker so your vote can be counted.</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Stockholders of record may also vote either via the internet or by telephone prior to the Annual Meeting. Specific instructions to be followed by stockholders of record interested in voting via the internet or telephone are shown on the proxy card and the Notice of Internet Availability of Proxy Materials. The internet and telephone voting procedures are designed to authenticate the stockholder’s identity and to allow stockholders to vote their shares and confirm that their instructions have been properly recorded.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 w:name="page8"/>
    <w:bookmarkEnd w:id="7"/>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Important Notice Regarding the Availability of Proxy Materials for the Annual Meeting. </w:t>
      </w:r>
      <w:r>
        <w:rPr>
          <w:rFonts w:ascii="Times New Roman" w:cs="Times New Roman" w:eastAsia="Times New Roman" w:hAnsi="Times New Roman"/>
          <w:sz w:val="18"/>
          <w:szCs w:val="18"/>
          <w:color w:val="auto"/>
        </w:rPr>
        <w:t>This Proxy Statement and the Annual Report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available on the internet at </w:t>
      </w:r>
      <w:r>
        <w:rPr>
          <w:rFonts w:ascii="Times New Roman" w:cs="Times New Roman" w:eastAsia="Times New Roman" w:hAnsi="Times New Roman"/>
          <w:sz w:val="18"/>
          <w:szCs w:val="18"/>
          <w:i w:val="1"/>
          <w:iCs w:val="1"/>
          <w:color w:val="auto"/>
        </w:rPr>
        <w:t>https://investors.surocap.com/financial-information/sec-filings.</w:t>
      </w:r>
      <w:r>
        <w:rPr>
          <w:rFonts w:ascii="Times New Roman" w:cs="Times New Roman" w:eastAsia="Times New Roman" w:hAnsi="Times New Roman"/>
          <w:sz w:val="18"/>
          <w:szCs w:val="18"/>
          <w:color w:val="auto"/>
        </w:rPr>
        <w:t xml:space="preserve"> The Notice of Internet Availability of Proxy Materials contains instructions on how stockholders can elect to receive a printed copy of this Proxy Statement and the Annual Report free of charge.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 of Meeting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the Annual Meeting, you will be asked to vote on the following proposals:</w:t>
      </w:r>
    </w:p>
    <w:p>
      <w:pPr>
        <w:spacing w:after="0" w:line="225" w:lineRule="exact"/>
        <w:rPr>
          <w:sz w:val="20"/>
          <w:szCs w:val="20"/>
          <w:color w:val="auto"/>
        </w:rPr>
      </w:pPr>
    </w:p>
    <w:p>
      <w:pPr>
        <w:ind w:left="98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re-elect two members of the Board of Directors of the Company, Ronald M. Lott and Marc Mazur, each of whom will serve for a term of three years expiring at the 2028 annual meeting of stockholders and until his respective successor is duly elected and qualified;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advisory vote on executive compensation (the “Advisory Vote on Executive Compensation”);</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recommend, in a non-binding vote, the frequency of an advisory vote to approve the compensation of the Company’s named executive officers (the “Advisory Vote on Frequency of Advisory Votes on Executive Compensation”);</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amendment and restatement of the SuRo Capital Corp. Amended and Restated 2019 Equity Incentive Plan (the “Amended Equity Incentive Plan” and, as further amended here, the “Second Amended Equity Incentive Plan”);</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selection of CBIZ CPAs P.C. to serve as the Company’s independent registered public accounting firm for the fiscal year ending December 31, 2025;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of such other business as may properly come before the Annual Meeting or any postponement or adjournment thereof.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Date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You may vote your shares, in person or by proxy, at the Annual Meeting only if you were a stockholder of record at the close of business on April 1, 2025 (the “Record Date”). Each share of common stock is entitled to one vote.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Quorum Required</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quorum must be present at the Annual Meeting for any business to be conducted. The presence at the Annual Meeting, in person or by proxy, of the holders of a majority of the shares of the Company’s common stock outstanding on the Record Date will constitute a quorum. On the Record Date, there were 23,551,859 shares of the Company’s common stock outstanding. Thus, 11,775,930 shares must be represented by stockholders present at the Annual Meeting or by proxy to have a quorum. Abstentions, “withhold” votes and Broker Non-Votes (as defined below) will be treated as shares present for quorum purposes.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 quorum is not present at the Annual Meeting, the stockholders who are represented may adjourn the Annual Meeting until a quorum is present. The persons named as proxies will vote those proxies for such adjournment, unless marked to be voted against any proposal for which an adjournment is sought, to permit the further solicitation of proxies.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Broker Non-Votes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If you are the beneficial owner of shares held through a broker or other nominee and do not vote your shares or provide voting instructions, your broker may vote for you on routine proposals but not on non-routine proposals. Therefore, if you do not vote on the non-routine proposals or provide voting instructions on such proposals, your broker will not be allowed to vote your shares. This will result in a </w:t>
      </w:r>
      <w:r>
        <w:rPr>
          <w:rFonts w:ascii="Times New Roman" w:cs="Times New Roman" w:eastAsia="Times New Roman" w:hAnsi="Times New Roman"/>
          <w:sz w:val="18"/>
          <w:szCs w:val="18"/>
          <w:i w:val="1"/>
          <w:iCs w:val="1"/>
          <w:color w:val="auto"/>
        </w:rPr>
        <w:t>broker non-vote</w:t>
      </w:r>
      <w:r>
        <w:rPr>
          <w:rFonts w:ascii="Times New Roman" w:cs="Times New Roman" w:eastAsia="Times New Roman" w:hAnsi="Times New Roman"/>
          <w:sz w:val="18"/>
          <w:szCs w:val="18"/>
          <w:color w:val="auto"/>
        </w:rPr>
        <w:t xml:space="preserve"> (“Broker Non-Votes”).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 w:name="page9"/>
    <w:bookmarkEnd w:id="8"/>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Accordingly, at the Annual Meeting, should you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vote your shares or provide voting instructions, your broker </w:t>
      </w:r>
      <w:r>
        <w:rPr>
          <w:rFonts w:ascii="Times New Roman" w:cs="Times New Roman" w:eastAsia="Times New Roman" w:hAnsi="Times New Roman"/>
          <w:sz w:val="18"/>
          <w:szCs w:val="18"/>
          <w:i w:val="1"/>
          <w:iCs w:val="1"/>
          <w:color w:val="auto"/>
        </w:rPr>
        <w:t>will</w:t>
      </w:r>
      <w:r>
        <w:rPr>
          <w:rFonts w:ascii="Times New Roman" w:cs="Times New Roman" w:eastAsia="Times New Roman" w:hAnsi="Times New Roman"/>
          <w:sz w:val="18"/>
          <w:szCs w:val="18"/>
          <w:color w:val="auto"/>
        </w:rPr>
        <w:t xml:space="preserve"> have discretionary authority to vote your shares on the following proposal that is considered routine: “Proposal V: Ratification of Selection of Independent Registered Public Accounting Firm.” At the Annual Meeting, should you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vote your shares or provide voting instructions, your broker </w:t>
      </w:r>
      <w:r>
        <w:rPr>
          <w:rFonts w:ascii="Times New Roman" w:cs="Times New Roman" w:eastAsia="Times New Roman" w:hAnsi="Times New Roman"/>
          <w:sz w:val="18"/>
          <w:szCs w:val="18"/>
          <w:i w:val="1"/>
          <w:iCs w:val="1"/>
          <w:color w:val="auto"/>
        </w:rPr>
        <w:t>will not</w:t>
      </w:r>
      <w:r>
        <w:rPr>
          <w:rFonts w:ascii="Times New Roman" w:cs="Times New Roman" w:eastAsia="Times New Roman" w:hAnsi="Times New Roman"/>
          <w:sz w:val="18"/>
          <w:szCs w:val="18"/>
          <w:color w:val="auto"/>
        </w:rPr>
        <w:t xml:space="preserve"> have discretionary authority to vote your shares and therefore your shares will not be voted on the following proposals that are considered non-routine: “Proposal I: Election of Directors,” “Proposal II: Advisory Vote on Executive Compensation,” “Proposal III: Advisory Vote on Frequency of Advisory Votes on Executive Compensation,” and “Proposal IV: Approval of Amendment and Restatement of the SuRo Capital Corp. Amended and Restated 2019 Equity Incentive Plan.”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Election of Directors</w:t>
      </w:r>
      <w:r>
        <w:rPr>
          <w:rFonts w:ascii="Times New Roman" w:cs="Times New Roman" w:eastAsia="Times New Roman" w:hAnsi="Times New Roman"/>
          <w:sz w:val="18"/>
          <w:szCs w:val="18"/>
          <w:color w:val="auto"/>
        </w:rPr>
        <w:t>. The election of directors requires the affirmative vote of a plurality of all the votes cast at the Annual Meeting in person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proxy. Stockholders may not cumulate their votes. If you vote “Withhold” with respect to a nominee, your shares will not be voted with respect to the person indicated. Broker Non-Votes will not be included in determining the number of votes cast and will have no effect on this proposal. Stockholders have no appraisal or dissenters’ rights in connection with this proposal.</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Advisory Vote on Executive Compensation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Because the Advisory Vote on Executive Compensation asks for a non-binding, advisory vote, there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no "required vote" that would constitute approval. As an advisory vote, this proposal is not binding upon the Company. However, the Board of Directors and the compensation committee of the Board of Directors (the “Compensation Committee”) will consider the outcome of the vote when making future decisions regarding executive compensation. Abstentions and Broker Non-Votes will not be included in determining the number of votes cast and will have no effect on this proposal. Stockholders have no appraisal or dissenters’ rights in connection with this proposal.</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Advisory Vote on Frequency of Advisory Votes on Executive Compensation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Because the Advisory Vote on Frequency of Advisory Votes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Compensation asks for a non-binding, advisory vote, there is no “required vote” that would constitute approval. As an advisory vote, this proposal is not binding upon the Company. However, the Board of Directors will consider the outcome of the vote when determining the frequency of holding the advisory vote to approve the compensation of the Company’s named executive officers. Abstentions and Broker Non-Votes will not be included in determining the number of votes cast and will have no effect on this proposal. Stockholders have no appraisal or dissenters’ rights in connection with this proposal.</w:t>
      </w:r>
    </w:p>
    <w:p>
      <w:pPr>
        <w:spacing w:after="0" w:line="18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Approval of Amendment and Restatement of the SuRo Capital Corp. Amended and Restated 2019 Equity Incentive Plan</w:t>
      </w:r>
      <w:r>
        <w:rPr>
          <w:rFonts w:ascii="Times New Roman" w:cs="Times New Roman" w:eastAsia="Times New Roman" w:hAnsi="Times New Roman"/>
          <w:sz w:val="18"/>
          <w:szCs w:val="18"/>
          <w:color w:val="auto"/>
        </w:rPr>
        <w:t>. The affirmative vote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a majority of all the votes cast at the Annual Meeting in person or by proxy is required to approve the amendment and restatement of the Amended Equity Incentive Plan. Abstentions and Broker Non-Votes will not be included in determining the number of votes cast and will have no effect on this proposal. Stockholders have no appraisal or dissenters’ rights in connection with this proposal.</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Ratification of Selection of Independent Registered Public Accounting Firm</w:t>
      </w:r>
      <w:r>
        <w:rPr>
          <w:rFonts w:ascii="Times New Roman" w:cs="Times New Roman" w:eastAsia="Times New Roman" w:hAnsi="Times New Roman"/>
          <w:sz w:val="18"/>
          <w:szCs w:val="18"/>
          <w:color w:val="auto"/>
        </w:rPr>
        <w:t>. The affirmative vote of a majority of all the votes cast at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Annual Meeting in person or by proxy is required to ratify the appointment of CBIZ CPAs P.C. to serve as the Company’s independent registered public accounting firm for the fiscal year ending December 31, 2025. Abstentions and Broker Non-Votes will not be included in determining the number of votes cast and will have no effect on this proposal. Stockholders have no appraisal or dissenters’ rights in connection with this proposal.</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Additional Solicitation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If there are not enough votes to approve any proposals at the Annual Meeting, the stockholders who are represented may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adjourn the Annual Meeting to permit the further solicitation of proxies. The persons named as proxies will vote those proxies for such adjournment, unless marked to be voted against the proposal for which an adjournment is sought, to permit the further solicitation of proxies. Also, a stockholder vote may be taken on one or more of the proposals in this Proxy Statement prior to any such adjournment if there are sufficient votes for approval thereof.</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Information Regarding This Solicitation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will bear the expense of the solicitation of proxies for the Annual Meeting, including the cost of preparing, printing and mailing this Proxy Statement, the accompanying Notice of Annual Meeting of Stockholders, the proxy card and the Notice of Internet Availability of Proxy Materials.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requested that brokers, nominees, fiduciaries and other persons holding shares in their names, or in the name of their nominees, which are beneficially owned by others, forward the proxy materials to, and obtain proxies from, such beneficial owners. We will reimburse such persons for their reasonable out-of-pocket expenses in so doing.</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addition to the solicitation of proxies by the use of the mails, proxies may be solicited personally and by telephone, facsimile or electronic transmission by directors, officers or employees of the Company without special compensation therefor.</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Stockholders may also provide their voting instructions by telephone or through the internet. These options require stockholders to input the control number which is located on each proxy card and Notice of Internet Availability of Proxy Materials. After inputting this number, stockholders will be prompted to provide their voting instructions. Stockholders will have an opportunity to review their voting instructions and make any necessary changes before submitting their voting instructions and terminating the telephone call or internet link. Stockholders who vote via the internet, in addition to confirming their voting instructions prior to submission, will also receive an e-mail confirming their instructions upon request.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a stockholder wishes to participate in the Annual Meeting but does not wish to give a proxy by telephone or the internet, the stockholder may still vote their proxy by submitting the proxy card originally sent with this Proxy Statement. To do so, the stockholder is required to indicate his, her or its instructions on the proxy card, date and sign the proxy card, and mail the proxy card promptly in the envelope provided, which requires no postage if mailed in the United States. Such stockholder must allow sufficient time for the proxy card to be received on or before 11:59 p.m., Eastern Time, on May 27, 2025.</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proxy given pursuant to this solicitation may be revoked by notice from the person giving the proxy at any time before it is exercised. Any such notice of revocation should be provided in writing and signed by the stockholder in the same manner as the proxy being revoked and delivered to the Company’s proxy tabulator.</w:t>
      </w:r>
    </w:p>
    <w:p>
      <w:pPr>
        <w:spacing w:after="0" w:line="17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U.S. Securities and Exchange Commission (“SEC”) has adopted rules that permit companies and intermediaries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brokers) to satisfy the delivery requirements for proxy statements and annual reports with respect to two or more stockholders sharing the same address by delivering a single proxy statement and annual report addressed to those stockholders. This process, which is commonly referred to as “householding,” potentially means extra convenience for stockholders and cost savings for companies.</w:t>
      </w:r>
    </w:p>
    <w:p>
      <w:pPr>
        <w:spacing w:after="0" w:line="18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number of brokerages and other institutional holders of record have implemented householding. A single proxy statement will be delivered to multiple stockholders sharing an address unless contrary instructions have been received from the affected stockholders. If you have received notice from your broker that it will be householding communications to your address, householding will continue until you are notified otherwise or until you revoke your consent. If, at any time, you no longer wish to participate in householding and would prefer to receive a separate proxy statement, please notify your broker.</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Stockholders who currently receive multiple copies of the proxy statement at their addresses and would like to request information about householding of their communications should contact their brokers or other intermediary holder of record. You can notify us by sending a written request to: Allison Green, Corporate Secretary, SuRo Capital Corp., 640 Fifth Avenue, 12th Floor, New York, New York 10019, or by calling (212) 931-6331.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of Internet Availability of Proxy Materials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regulations promulgated by the SEC, the Company has made this Proxy Statement, the Notice of Annual Meeting of Stockholders and the Annual Report available to stockholders on the internet. Stockholders may (i) access and review the Company’s proxy materials,</w:t>
      </w:r>
    </w:p>
    <w:p>
      <w:pPr>
        <w:ind w:firstLine="8"/>
        <w:spacing w:after="0" w:line="260" w:lineRule="auto"/>
        <w:tabs>
          <w:tab w:leader="none" w:pos="29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their proxies, and/or (iii) elect to receive future proxy materials by electronic delivery via the internet address provided in this Proxy Statement and the Notice of Internet Availability of Proxy Materials.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Electronic Delivery of Proxy Materials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Pursuant to the rules adopted by the SEC, the Company furnishes proxy materials by email to those stockholders who have elected to receive their proxy materials electronically. While the Company encourages stockholders to take advantage of electronic delivery of proxy materials, which helps to reduce the environmental impact of annual meetings and the cost associated with the physical printing and mailing of materials, stockholders who have elected to receive proxy materials electronically by email, as well as beneficial owners of shares of the Company’s common stock held by a broker or custodian, may request a printed set of proxy materials. The Notice of Internet Availability of Proxy Materials contains instructions on how you can elect to receive a printed copy of this Proxy Statement and the Annual Report.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as of the Record Date, information with respect to the beneficial ownership of each current director, the director-nominees, the Company’s executive officers, and each person, if any, known to us to beneficially own 5.0% or more of the outstanding shares of our common stock.</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These rules generally provide that a person is the beneficial owner of securities if such person has or shares the power to vote or direct the voting thereof, or to dispose or direct the disposition thereof or has the right to acquire such powers within 60 days. Ownership information for those persons who beneficially own 5.0% or more of our shares of common stock pursuant to these rules is based upon reports filed by such persons with the SEC and other information obtained from such persons, if available. The percentage of beneficial ownership in the following table is based on 23,551,859 shares of our common stock outstanding as of April 1, 2025.</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otherwise indicated, to our knowledge, each stockholder listed below has sole voting and/or investment power with respect to the shares beneficially owned by the stockholder, except to the extent authority is shared by their spouses under applicable law.</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directors are divided into two groups — interested directors and independent directors. Interested directors are “interested persons” as defined in Section 2(a)(19) of the Investment Company Act of 1940, as amended (the “1940 Act”), and independent directors are all other directors.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5"/>
        </w:trPr>
        <w:tc>
          <w:tcPr>
            <w:tcW w:w="4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5"/>
              </w:rPr>
              <w:t>Type of</w:t>
            </w:r>
          </w:p>
        </w:tc>
        <w:tc>
          <w:tcPr>
            <w:tcW w:w="2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Shares Owned</w:t>
            </w:r>
          </w:p>
        </w:tc>
        <w:tc>
          <w:tcPr>
            <w:tcW w:w="21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Percentage</w:t>
            </w:r>
          </w:p>
        </w:tc>
      </w:tr>
      <w:tr>
        <w:trPr>
          <w:trHeight w:val="270"/>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Ownership</w:t>
            </w:r>
          </w:p>
        </w:tc>
        <w:tc>
          <w:tcPr>
            <w:tcW w:w="2220" w:type="dxa"/>
            <w:vAlign w:val="bottom"/>
            <w:gridSpan w:val="2"/>
          </w:tcPr>
          <w:p>
            <w:pPr>
              <w:jc w:val="center"/>
              <w:ind w:right="220"/>
              <w:spacing w:after="0" w:line="270" w:lineRule="exact"/>
              <w:rPr>
                <w:sz w:val="20"/>
                <w:szCs w:val="20"/>
                <w:color w:val="auto"/>
              </w:rPr>
            </w:pPr>
            <w:r>
              <w:rPr>
                <w:rFonts w:ascii="Times New Roman" w:cs="Times New Roman" w:eastAsia="Times New Roman" w:hAnsi="Times New Roman"/>
                <w:sz w:val="18"/>
                <w:szCs w:val="18"/>
                <w:b w:val="1"/>
                <w:bCs w:val="1"/>
                <w:color w:val="auto"/>
                <w:w w:val="95"/>
              </w:rPr>
              <w:t>Beneficially</w:t>
            </w:r>
            <w:r>
              <w:rPr>
                <w:rFonts w:ascii="Times New Roman" w:cs="Times New Roman" w:eastAsia="Times New Roman" w:hAnsi="Times New Roman"/>
                <w:sz w:val="29"/>
                <w:szCs w:val="29"/>
                <w:b w:val="1"/>
                <w:bCs w:val="1"/>
                <w:color w:val="auto"/>
                <w:w w:val="95"/>
                <w:vertAlign w:val="superscript"/>
              </w:rPr>
              <w:t>(1)</w:t>
            </w:r>
          </w:p>
        </w:tc>
        <w:tc>
          <w:tcPr>
            <w:tcW w:w="218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of Class</w:t>
            </w:r>
          </w:p>
        </w:tc>
      </w:tr>
      <w:tr>
        <w:trPr>
          <w:trHeight w:val="210"/>
        </w:trPr>
        <w:tc>
          <w:tcPr>
            <w:tcW w:w="4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Interested Director</w:t>
            </w:r>
          </w:p>
        </w:tc>
        <w:tc>
          <w:tcPr>
            <w:tcW w:w="10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56"/>
        </w:trPr>
        <w:tc>
          <w:tcPr>
            <w:tcW w:w="482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8"/>
                <w:szCs w:val="18"/>
                <w:color w:val="auto"/>
              </w:rPr>
              <w:t>Mark D. Klein</w:t>
            </w:r>
            <w:r>
              <w:rPr>
                <w:rFonts w:ascii="Times New Roman" w:cs="Times New Roman" w:eastAsia="Times New Roman" w:hAnsi="Times New Roman"/>
                <w:sz w:val="29"/>
                <w:szCs w:val="29"/>
                <w:color w:val="auto"/>
                <w:vertAlign w:val="superscript"/>
              </w:rPr>
              <w:t>(2)</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 &amp; Indirect</w:t>
            </w:r>
          </w:p>
        </w:tc>
        <w:tc>
          <w:tcPr>
            <w:tcW w:w="2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1,199,519</w:t>
            </w:r>
          </w:p>
        </w:tc>
        <w:tc>
          <w:tcPr>
            <w:tcW w:w="2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5.09%</w:t>
            </w:r>
          </w:p>
        </w:tc>
      </w:tr>
      <w:tr>
        <w:trPr>
          <w:trHeight w:val="257"/>
        </w:trPr>
        <w:tc>
          <w:tcPr>
            <w:tcW w:w="48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i w:val="1"/>
                <w:iCs w:val="1"/>
                <w:color w:val="auto"/>
              </w:rPr>
              <w:t>Independent Directors</w:t>
            </w:r>
            <w:r>
              <w:rPr>
                <w:rFonts w:ascii="Times New Roman" w:cs="Times New Roman" w:eastAsia="Times New Roman" w:hAnsi="Times New Roman"/>
                <w:sz w:val="29"/>
                <w:szCs w:val="29"/>
                <w:b w:val="1"/>
                <w:bCs w:val="1"/>
                <w:i w:val="1"/>
                <w:iCs w:val="1"/>
                <w:color w:val="auto"/>
                <w:vertAlign w:val="superscript"/>
              </w:rPr>
              <w:t>(3)</w:t>
            </w:r>
          </w:p>
        </w:tc>
        <w:tc>
          <w:tcPr>
            <w:tcW w:w="1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r>
      <w:tr>
        <w:trPr>
          <w:trHeight w:val="216"/>
        </w:trPr>
        <w:tc>
          <w:tcPr>
            <w:tcW w:w="4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Leonard A. Potter</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Direct</w:t>
            </w:r>
          </w:p>
        </w:tc>
        <w:tc>
          <w:tcPr>
            <w:tcW w:w="2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94,467</w:t>
            </w:r>
          </w:p>
        </w:tc>
        <w:tc>
          <w:tcPr>
            <w:tcW w:w="2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Marc Mazur</w:t>
            </w:r>
          </w:p>
        </w:tc>
        <w:tc>
          <w:tcPr>
            <w:tcW w:w="2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Direct</w:t>
            </w:r>
          </w:p>
        </w:tc>
        <w:tc>
          <w:tcPr>
            <w:tcW w:w="2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57,602</w:t>
            </w:r>
          </w:p>
        </w:tc>
        <w:tc>
          <w:tcPr>
            <w:tcW w:w="2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Ronald M. Lott</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Direct</w:t>
            </w:r>
          </w:p>
        </w:tc>
        <w:tc>
          <w:tcPr>
            <w:tcW w:w="2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29,311</w:t>
            </w:r>
          </w:p>
        </w:tc>
        <w:tc>
          <w:tcPr>
            <w:tcW w:w="2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Lisa Westley</w:t>
            </w:r>
          </w:p>
        </w:tc>
        <w:tc>
          <w:tcPr>
            <w:tcW w:w="2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Direct</w:t>
            </w:r>
          </w:p>
        </w:tc>
        <w:tc>
          <w:tcPr>
            <w:tcW w:w="2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47,483</w:t>
            </w:r>
          </w:p>
        </w:tc>
        <w:tc>
          <w:tcPr>
            <w:tcW w:w="2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6"/>
        </w:trPr>
        <w:tc>
          <w:tcPr>
            <w:tcW w:w="4820" w:type="dxa"/>
            <w:vAlign w:val="bottom"/>
            <w:gridSpan w:val="2"/>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Allison Green</w:t>
            </w:r>
            <w:r>
              <w:rPr>
                <w:rFonts w:ascii="Times New Roman" w:cs="Times New Roman" w:eastAsia="Times New Roman" w:hAnsi="Times New Roman"/>
                <w:sz w:val="29"/>
                <w:szCs w:val="29"/>
                <w:color w:val="auto"/>
                <w:vertAlign w:val="superscript"/>
              </w:rPr>
              <w:t>(4)</w:t>
            </w:r>
          </w:p>
        </w:tc>
        <w:tc>
          <w:tcPr>
            <w:tcW w:w="2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 &amp; Indirect</w:t>
            </w:r>
          </w:p>
        </w:tc>
        <w:tc>
          <w:tcPr>
            <w:tcW w:w="2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147,313</w:t>
            </w:r>
          </w:p>
        </w:tc>
        <w:tc>
          <w:tcPr>
            <w:tcW w:w="2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8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b w:val="1"/>
                <w:bCs w:val="1"/>
                <w:i w:val="1"/>
                <w:iCs w:val="1"/>
                <w:color w:val="auto"/>
              </w:rPr>
              <w:t>Executive officers and directors as a group (6 persons)</w:t>
            </w:r>
            <w:r>
              <w:rPr>
                <w:rFonts w:ascii="Times New Roman" w:cs="Times New Roman" w:eastAsia="Times New Roman" w:hAnsi="Times New Roman"/>
                <w:sz w:val="29"/>
                <w:szCs w:val="29"/>
                <w:b w:val="1"/>
                <w:bCs w:val="1"/>
                <w:i w:val="1"/>
                <w:iCs w:val="1"/>
                <w:color w:val="auto"/>
                <w:vertAlign w:val="superscript"/>
              </w:rPr>
              <w:t>(5)</w:t>
            </w:r>
          </w:p>
        </w:tc>
        <w:tc>
          <w:tcPr>
            <w:tcW w:w="1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1,575,695</w:t>
            </w:r>
          </w:p>
        </w:tc>
        <w:tc>
          <w:tcPr>
            <w:tcW w:w="2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6.69%</w:t>
            </w:r>
          </w:p>
        </w:tc>
      </w:tr>
      <w:tr>
        <w:trPr>
          <w:trHeight w:val="216"/>
        </w:trPr>
        <w:tc>
          <w:tcPr>
            <w:tcW w:w="4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5.0% + Owners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7"/>
        </w:trPr>
        <w:tc>
          <w:tcPr>
            <w:tcW w:w="4820" w:type="dxa"/>
            <w:vAlign w:val="bottom"/>
            <w:gridSpan w:val="2"/>
            <w:shd w:val="clear" w:color="auto" w:fill="CCEEFF"/>
          </w:tcPr>
          <w:p>
            <w:pPr>
              <w:ind w:left="260"/>
              <w:spacing w:after="0" w:line="256" w:lineRule="exact"/>
              <w:rPr>
                <w:sz w:val="20"/>
                <w:szCs w:val="20"/>
                <w:color w:val="auto"/>
              </w:rPr>
            </w:pPr>
            <w:r>
              <w:rPr>
                <w:rFonts w:ascii="Times New Roman" w:cs="Times New Roman" w:eastAsia="Times New Roman" w:hAnsi="Times New Roman"/>
                <w:sz w:val="18"/>
                <w:szCs w:val="18"/>
                <w:color w:val="auto"/>
              </w:rPr>
              <w:t>Thomas J. Herzfeld Advisors, Inc.</w:t>
            </w:r>
            <w:r>
              <w:rPr>
                <w:rFonts w:ascii="Times New Roman" w:cs="Times New Roman" w:eastAsia="Times New Roman" w:hAnsi="Times New Roman"/>
                <w:sz w:val="29"/>
                <w:szCs w:val="29"/>
                <w:color w:val="auto"/>
                <w:vertAlign w:val="superscript"/>
              </w:rPr>
              <w:t>(6)</w:t>
            </w:r>
          </w:p>
        </w:tc>
        <w:tc>
          <w:tcPr>
            <w:tcW w:w="2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Direct</w:t>
            </w:r>
          </w:p>
        </w:tc>
        <w:tc>
          <w:tcPr>
            <w:tcW w:w="2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1,714,062</w:t>
            </w:r>
          </w:p>
        </w:tc>
        <w:tc>
          <w:tcPr>
            <w:tcW w:w="2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7.28%</w:t>
            </w:r>
          </w:p>
        </w:tc>
      </w:tr>
      <w:tr>
        <w:trPr>
          <w:trHeight w:val="394"/>
        </w:trPr>
        <w:tc>
          <w:tcPr>
            <w:tcW w:w="48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Mario J. Gabelli</w:t>
            </w:r>
            <w:r>
              <w:rPr>
                <w:rFonts w:ascii="Times New Roman" w:cs="Times New Roman" w:eastAsia="Times New Roman" w:hAnsi="Times New Roman"/>
                <w:sz w:val="29"/>
                <w:szCs w:val="29"/>
                <w:color w:val="auto"/>
                <w:vertAlign w:val="superscript"/>
              </w:rPr>
              <w:t>(7)</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Indirect</w:t>
            </w:r>
          </w:p>
        </w:tc>
        <w:tc>
          <w:tcPr>
            <w:tcW w:w="2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1,452,825</w:t>
            </w:r>
          </w:p>
        </w:tc>
        <w:tc>
          <w:tcPr>
            <w:tcW w:w="2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17830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Represents less than one percent (1.0%)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 w:name="page12"/>
    <w:bookmarkEnd w:id="11"/>
    <w:p>
      <w:pPr>
        <w:ind w:left="34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has been determined in accordance with Rule 13d-3 under the Securities Exchange Act of 1934, as amended (the “Exchange Act”).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14,659 shares owned by Mr. Klein’s spouse, which may be deemed to be beneficially owned by Mr. Klein, and (ii) 166,667 restricted shares granted under the Amended Equity Incentive Plan on December 15, 2023 and December 10, 2024, all of which are subject to certain vesting schedules.</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12,048 restricted shares granted to each independent director under the Amended Equity Incentive Plan, all of which vest in full on May 28, 2025.</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41,667 restricted shares granted under the Amended Equity Incentive Plan on December 15, 2023 and December 10, 2024, all of which are subject to certain vesting schedules and are held directly until vesting, and 99,149 shares held indirectly through the Allison Green Living Trust, dated September 30, 2024.</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each of the directors and officers is c/o SuRo Capital Corp., 640 Fifth Avenue, 12th Floor, New York, New York 10019.</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obtained from a Schedule 13D filed by Thomas J. Herzfeld Advisors, Inc. on March 6, 2025, 1,714,062 shares of Common Stock held directly by Thomas J. Herzfeld Advisors, Inc. Based on information obtained from a Schedule 13G filed by Thomas J. Herzfeld Advisors, Inc. on January 21, 2025, Thomas J. Herzfeld Advisors, Inc. is deemed to beneficially own and could be deemed to have sole voting power and sole dispositive power over the 4,516,131 shares issuable upon conversion, at the election of the holder, of the Company’s 6.50% Convertible Notes due 2029 (the “Convertible Notes”) at the conversion rate of 129.0323 shares per $1,000 principal amount of the Convertible Notes. The 4,516,131 shares issuable upon conversion of the Convertible Notes at the election of the holder thereof are not outstanding as of the Record Date, including for the purposes of computing the percentage ownership of any other person. On an as-converted basis, Thomas J. Herzfeld Advisors, Inc. is deemed to beneficially own and have sole voting power and sole dispositive power over 6,230,193 shares resulting in an as-converted outstanding share count of 28,067,990 and 22.20% deemed beneficial ownership of the class.</w:t>
      </w:r>
    </w:p>
    <w:p>
      <w:pPr>
        <w:spacing w:after="0" w:line="188"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Thomas J. Herzfeld Advisors, Inc. is 119 Washington Ave, Suite 504, Miami Beach, FL 33139.</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obtained from a Schedule 13D filed jointly by GAMCO Investors, Inc., Gabelli &amp; Co. Investment Advisers, Inc., Gabelli Foundation, Inc., Gabelli Funds LLC, GAMCO Asset Management Inc., GGCP, Inc., Associated Capital Group, Inc., and Mario J. Gabelli on February 20, 2025, Mr. Gabelli acts as Chairman and CEO of GAMCO Investors, Inc., of which Gabelli Funds LLC and GAMCO Asset Management Inc. are wholly owned subsidiaries. GAMCO Investors Inc. is deemed to beneficially own and have sole voting power and sole dispositive power over 7,500 shares of the Company's common stock, and Gabelli Funds LLC and GAMCO Asset Management are deemed to beneficially own and have sole voting power and sole dispositive power over 1,232,500 and 206,250 shares, respectively, of the Company's common stock. In addition, Mr. Gabelli acts as Executive Chairman of Associated Capital Group, Inc., of which Gabelli &amp; Co. Investment Advisers, Inc. is a wholly owned subsidiary. Gabelli &amp; Co. Investment Advisers, Inc. is deemed to beneficially own and have sole voting power and sole dispositive power over 1,575 shares of the Company's common stock. Finally, Mr. Gabelli acts as Chairman, Trustee and Investment Manager of Gabelli Foundation, Inc., which is deemed to beneficially own and have sole voting power and sole dispositive power over 5,000 shares of the Company's common stock. As a result, Mr. Gabelli is deemed to beneficially own 1,452,825 shares of the Company's common stock directly owned by the aforementioned entities and over which he could be deemed to have shared voting power and shared dispositive power.</w:t>
      </w:r>
    </w:p>
    <w:p>
      <w:pPr>
        <w:spacing w:after="0" w:line="189"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Mr. Gabelli is One Corporate Center, Rye, NY 10580.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 w:name="page13"/>
    <w:bookmarkEnd w:id="12"/>
    <w:p>
      <w:pPr>
        <w:ind w:left="660"/>
        <w:spacing w:after="0"/>
        <w:rPr>
          <w:sz w:val="20"/>
          <w:szCs w:val="20"/>
          <w:color w:val="auto"/>
        </w:rPr>
      </w:pPr>
      <w:r>
        <w:rPr>
          <w:rFonts w:ascii="Times New Roman" w:cs="Times New Roman" w:eastAsia="Times New Roman" w:hAnsi="Times New Roman"/>
          <w:sz w:val="18"/>
          <w:szCs w:val="18"/>
          <w:color w:val="auto"/>
        </w:rPr>
        <w:t>Set forth below is the dollar range of equity securities beneficially owned by each of our directors as of the Record Date.</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8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Dollar Range</w:t>
            </w:r>
          </w:p>
        </w:tc>
      </w:tr>
      <w:tr>
        <w:trPr>
          <w:trHeight w:val="216"/>
        </w:trPr>
        <w:tc>
          <w:tcPr>
            <w:tcW w:w="8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of Equity</w:t>
            </w:r>
          </w:p>
        </w:tc>
      </w:tr>
      <w:tr>
        <w:trPr>
          <w:trHeight w:val="216"/>
        </w:trPr>
        <w:tc>
          <w:tcPr>
            <w:tcW w:w="8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Securities</w:t>
            </w:r>
          </w:p>
        </w:tc>
      </w:tr>
      <w:tr>
        <w:trPr>
          <w:trHeight w:val="224"/>
        </w:trPr>
        <w:tc>
          <w:tcPr>
            <w:tcW w:w="8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Owned</w:t>
            </w:r>
          </w:p>
        </w:tc>
      </w:tr>
      <w:tr>
        <w:trPr>
          <w:trHeight w:val="271"/>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Director</w:t>
            </w:r>
          </w:p>
        </w:tc>
        <w:tc>
          <w:tcPr>
            <w:tcW w:w="1640" w:type="dxa"/>
            <w:vAlign w:val="bottom"/>
            <w:gridSpan w:val="2"/>
          </w:tcPr>
          <w:p>
            <w:pPr>
              <w:jc w:val="center"/>
              <w:ind w:right="120"/>
              <w:spacing w:after="0" w:line="271" w:lineRule="exact"/>
              <w:rPr>
                <w:sz w:val="20"/>
                <w:szCs w:val="20"/>
                <w:color w:val="auto"/>
              </w:rPr>
            </w:pPr>
            <w:r>
              <w:rPr>
                <w:rFonts w:ascii="Times New Roman" w:cs="Times New Roman" w:eastAsia="Times New Roman" w:hAnsi="Times New Roman"/>
                <w:sz w:val="18"/>
                <w:szCs w:val="18"/>
                <w:b w:val="1"/>
                <w:bCs w:val="1"/>
                <w:color w:val="auto"/>
                <w:w w:val="91"/>
              </w:rPr>
              <w:t>Beneficially</w:t>
            </w:r>
            <w:r>
              <w:rPr>
                <w:rFonts w:ascii="Times New Roman" w:cs="Times New Roman" w:eastAsia="Times New Roman" w:hAnsi="Times New Roman"/>
                <w:sz w:val="29"/>
                <w:szCs w:val="29"/>
                <w:color w:val="auto"/>
                <w:w w:val="91"/>
                <w:vertAlign w:val="superscript"/>
              </w:rPr>
              <w:t>(1)(2)</w:t>
            </w:r>
          </w:p>
        </w:tc>
      </w:tr>
      <w:tr>
        <w:trPr>
          <w:trHeight w:val="210"/>
        </w:trPr>
        <w:tc>
          <w:tcPr>
            <w:tcW w:w="8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Interested Director:</w:t>
            </w:r>
          </w:p>
        </w:tc>
        <w:tc>
          <w:tcPr>
            <w:tcW w:w="22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D. Klein</w:t>
            </w:r>
          </w:p>
        </w:tc>
        <w:tc>
          <w:tcPr>
            <w:tcW w:w="16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Over $100,000</w:t>
            </w:r>
          </w:p>
        </w:tc>
      </w:tr>
      <w:tr>
        <w:trPr>
          <w:trHeight w:val="216"/>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Independent Directors: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Leonard A. Potter</w:t>
            </w:r>
          </w:p>
        </w:tc>
        <w:tc>
          <w:tcPr>
            <w:tcW w:w="16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Over $100,000</w:t>
            </w:r>
          </w:p>
        </w:tc>
      </w:tr>
      <w:tr>
        <w:trPr>
          <w:trHeight w:val="216"/>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 Mazur</w:t>
            </w:r>
          </w:p>
        </w:tc>
        <w:tc>
          <w:tcPr>
            <w:tcW w:w="16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Over $100,000</w:t>
            </w: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Ronald M. Lott</w:t>
            </w:r>
          </w:p>
        </w:tc>
        <w:tc>
          <w:tcPr>
            <w:tcW w:w="16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Over $100,000</w:t>
            </w:r>
          </w:p>
        </w:tc>
      </w:tr>
      <w:tr>
        <w:trPr>
          <w:trHeight w:val="216"/>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Lisa Westley</w:t>
            </w:r>
          </w:p>
        </w:tc>
        <w:tc>
          <w:tcPr>
            <w:tcW w:w="16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Over $100,000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13"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 ranges are as follows: None, $1 – $10,000, $10,001 – $50,000, $50,001 – $100,000, or Over $100,000.</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range of equity securities beneficially owned in us is based on the closing price for our common stock of $5.00 per share on the Record Date on the Nasdaq Global Select Market. Beneficial ownership has been determined in accordance with Rule 16a-1(a)(2) of the Exchange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16(a) of the Exchange Act requires our directors and executive officers, and any persons who own 10% or more of our voting stock, to file reports of ownership and changes in ownership of our equity securities with the SEC. Directors, executive officers and 10% or more holders are required by SEC regulations to furnish us with copies of all Section 16(a) forms they file. Based solely on a review of the copies of those forms filed with the SEC, or written representations that no such forms were required, we believe that our directors, executive officers and 10% or more beneficial owners (if any) complied with all Section 16(a) filing requirements during the fiscal year ended December 31, 2024.</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PROPOSAL I: ELECTION OF DIRECTORS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the Company’s charter, the number of directors is set at five unless otherwise designated by the Board of Directors pursuant to the Company’s bylaws. In accordance with the Company’s bylaws, the Board of Directors has designated the current number of directors to be five. Directors generally are elected for a staggered term of three years each, with a term of office of one of the three classes of directors expiring each year. Each director will hold office for the term to which he or she is elected or until his or her successor is duly elected and qualified.</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Ronald M. Lott and Marc Mazur are currently directors and each has been nominated to continue to serve as a director of the Company for a three-year term expiring in 2028. If elected, Mr. Lott will continue to serve on the Audit Committee, the Compensation Committee, the Nominating and Corporate Governance Committee and the Valuation Committee, and will continue to serve as Chair of the Nominating and Corporate Governance Committee. If elected, Mr. Mazur will continue to serve on the Audit Committee, the Compensation Committee, the Nominating and Corporate Governance Committee and the Valuation Committee, and will continue to serve as Chair of the Audit Committee. Messrs. Lott and Mazur are not being proposed for election to the Board of Directors pursuant to any arrangement or understanding between either of themselves and the Company or any other person.</w:t>
      </w:r>
    </w:p>
    <w:p>
      <w:pPr>
        <w:spacing w:after="0" w:line="18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A stockholder can vote for or withhold his or her vote from the director-nominees. </w:t>
      </w:r>
      <w:r>
        <w:rPr>
          <w:rFonts w:ascii="Times New Roman" w:cs="Times New Roman" w:eastAsia="Times New Roman" w:hAnsi="Times New Roman"/>
          <w:sz w:val="18"/>
          <w:szCs w:val="18"/>
          <w:b w:val="1"/>
          <w:bCs w:val="1"/>
          <w:color w:val="auto"/>
        </w:rPr>
        <w:t>In the absence of instructions to the contrary, it is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intention of the persons named as proxies to vote such proxy “FOR” the election of the director-nominees named above. If any of the director-nominees should decline or be unable to serve as a director, it is intended that the proxy will vote for the election of such person as is nominated by the Board of Directors as a replacement. </w:t>
      </w:r>
      <w:r>
        <w:rPr>
          <w:rFonts w:ascii="Times New Roman" w:cs="Times New Roman" w:eastAsia="Times New Roman" w:hAnsi="Times New Roman"/>
          <w:sz w:val="18"/>
          <w:szCs w:val="18"/>
          <w:color w:val="auto"/>
        </w:rPr>
        <w:t>The Board of Directors has no reason to believe that the director-nominees named above will be unable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unwilling to serve.</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YOU VOTE “FOR” THE ELECTION OF THE DIRECTOR-NOMINEES NAMED IN THIS PROXY STATEMENT.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the Director-Nominees and Directors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described below under “Corporate Governance — Committees of the Board of Directors — Nominating and Corporate Governance Committee,” the Board of Directors has identified certain desired talents and experience for the director-nominees. Each of our directors and each of the director-nominees has demonstrated high character and integrity; the knowledge, skills and experience necessary to be able to offer advice and guidance to our management in light of prevailing business conditions; familiarity with national and international business matters; experience with accounting rules and practices; appreciation of the relationship of our business to the changing needs of society; and the desire to balance the considerable benefit of continuity with the periodic injection of fresh perspective. Each of our directors and each of the director-nominees also has sufficient time available to devote to the affairs of the Company, is able to work with the other members of the Board of Directors and contribute to the success of the Company and can represent the long-term interests of the Company’s stockholders as a whole. Our directors and the director-nominees have been selected such that the Board of Directors represents a range of backgrounds and experience.</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Certain information as of the Record Date with respect to Messrs. Lott and Mazur, the director-nominees for election at the Annual Meeting, as well as each of the current directors, is set forth below, including their names, ages, a brief description of their recent business experience, including present occupations and employment, certain directorships that each person holds, the year in which each person became a director of the Company, and a discussion of each person’s particular experience, qualifications, attributes or skills that lead us to conclude, as of the Record Date, that such individual should serve as a director of the Company, in light of the Company’s business and structure. There were no legal proceedings of the type described in Items 401(f)(7) and (8) of Regulation S-K in the past 10 years against any of our directors, the director-nominees or our officers, and none are currently pending.</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business address of the director-nominees and the directors listed below is 640 Fifth Avenue, 12th Floor, New York, New York 10019.</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Information regarding the Board of Directors is as follows:</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Director</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Expiration</w:t>
            </w:r>
          </w:p>
        </w:tc>
      </w:tr>
      <w:tr>
        <w:trPr>
          <w:trHeight w:val="238"/>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80" w:type="dxa"/>
            <w:vAlign w:val="bottom"/>
          </w:tcPr>
          <w:p>
            <w:pPr>
              <w:spacing w:after="0"/>
              <w:rPr>
                <w:sz w:val="20"/>
                <w:szCs w:val="20"/>
                <w:color w:val="auto"/>
              </w:rPr>
            </w:pPr>
          </w:p>
        </w:tc>
        <w:tc>
          <w:tcPr>
            <w:tcW w:w="4640" w:type="dxa"/>
            <w:vAlign w:val="bottom"/>
            <w:gridSpan w:val="2"/>
          </w:tcPr>
          <w:p>
            <w:pPr>
              <w:ind w:left="196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Since</w:t>
            </w:r>
          </w:p>
        </w:tc>
        <w:tc>
          <w:tcPr>
            <w:tcW w:w="10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 Term</w:t>
            </w:r>
          </w:p>
        </w:tc>
      </w:tr>
      <w:tr>
        <w:trPr>
          <w:trHeight w:val="210"/>
        </w:trPr>
        <w:tc>
          <w:tcPr>
            <w:tcW w:w="2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Interested Directors:</w:t>
            </w: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r>
      <w:tr>
        <w:trPr>
          <w:trHeight w:val="216"/>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D. Klein</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Chief Executive Officer, President, and Chairman and Director</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2011</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r>
      <w:tr>
        <w:trPr>
          <w:trHeight w:val="216"/>
        </w:trPr>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Independent Directors:</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Ronald M. Lott</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r>
      <w:tr>
        <w:trPr>
          <w:trHeight w:val="216"/>
        </w:trPr>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 Mazur</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47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9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r>
      <w:tr>
        <w:trPr>
          <w:trHeight w:val="216"/>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Lisa Westley</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47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r>
      <w:tr>
        <w:trPr>
          <w:trHeight w:val="216"/>
        </w:trPr>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Leonard A. Potter</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47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2011</w:t>
            </w:r>
          </w:p>
        </w:tc>
        <w:tc>
          <w:tcPr>
            <w:tcW w:w="9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2027</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Interested Director</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Mr. Klein is an “interested person,” as defined in the 1940 Act, of the Company due to his position as our Chief Executive Officer and President.</w:t>
      </w:r>
    </w:p>
    <w:p>
      <w:pPr>
        <w:spacing w:after="0" w:line="22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Mark Klein </w:t>
      </w:r>
      <w:r>
        <w:rPr>
          <w:rFonts w:ascii="Times New Roman" w:cs="Times New Roman" w:eastAsia="Times New Roman" w:hAnsi="Times New Roman"/>
          <w:sz w:val="18"/>
          <w:szCs w:val="18"/>
          <w:color w:val="auto"/>
        </w:rPr>
        <w:t>has spent the last two decades running public companies and investment firms. He has been our Chairman, President and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Officer since August 2017 and a member of our Board of Directors since 2011. A director of our portfolio company Learneo (formerly Course Hero) since 2020, Mr. Klein has also served as a board member of certain exchange-listed special purpose acquisition companies (“SPACs”), including Churchill Capital Corp II from June 2019 to July 2021, Churchill Capital Corp III from June 2019 to October 2020, Churchill Capital Corp IV from July 2020 to February 2021, Churchill Capital Corp V from December 2020 to October 2023, Churchill Capital Corp VI from February 2021 to December 2023, and Churchill Capital Corp VII from February 2021 to August 2024. Additionally, since 2012, he has been Managing Member and Majority Partner at M. Klein &amp; Company, LLC, an investment banking and advisory firm.</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Before joining the Company, Mr. Klein held positions including Chairman and CEO at several public and private companies and served on a variety of corporate boards. He earned a bachelor’s degree with high distinction in Business Administration from Emory University and an MBA from the J. L. Kellogg School of Management at Northwestern University.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has concluded that Mr. Klein’s extensive familiarity with the financial and investment banking industries and experience as a director of other publicly traded companies provides our Board of Directors with valuable insight and perspective, and that therefore he is qualified to serve as a member of our Board of Directors, including as Chairman.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Independent Directors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Leonard A. Potter </w:t>
      </w:r>
      <w:r>
        <w:rPr>
          <w:rFonts w:ascii="Times New Roman" w:cs="Times New Roman" w:eastAsia="Times New Roman" w:hAnsi="Times New Roman"/>
          <w:sz w:val="18"/>
          <w:szCs w:val="18"/>
          <w:color w:val="auto"/>
        </w:rPr>
        <w:t>has served as our lead independent director since December 2020 and as a member of our Board of Directors since 2011.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Potter founded Wildcat Capital Management, LLC, a registered investment advisor, in September 2011, and has served as its president and chief investment officer since inception. Mr. Potter has also served as a founder and senior managing director of Vida Ventures I and II, each a biotech venture fund, since 2017. From 2002 through 2009, Mr. Potter was managing director — private equity at Soros Fund Management LLC (“SFM”) where, from May 2005 through July 2009, he served as co-head of its private equity group and as a member of the private equity investment committee. From July 2009 until September 2011, Mr. Potter served as a consultant to SFM, and as chief investment officer of Salt Creek Hospitality, a private acquirer and owner of hospitality-related assets, which was backed by SFM. From September 1998 until joining SFM in 2002, Mr. Potter was a managing director of Alpine Consolidated LLC, a private merchant bank. From April 1996 through September 1998, Mr. Potter founded and served as a managing director of Capstone Partners LLC, a private merchant bank (“Capstone”).</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Prior to founding Capstone, Mr. Potter was an attorney specializing in mergers, acquisitions, corporate governance and corporation finance at Morgan, Lewis &amp; Bockius LLP, and at Willkie Farr &amp; Gallagher LLP. Mr. Potter has served and continues to serve as a director on a number of boards of public and private companies, including SLR Investment Corp. (NASDAQ: SLRC), SLR Private Credit BDC LLC, and SLR HC BDC LLC, each a business development company (“BDC”), and, since January 2017, as chairman of the board of directors for Hilton Grand Vacations Inc. (NYSE: HGV). Additionally, from 2009 to 2022, Mr. Potter served on the board of directors of SLR Senior Capital Ltd. (NASDAQ: SUNS), a BDC. Mr. Potter received a Bachelor of Arts degree from Brandeis University and a Juris Doctor degree from Fordham University School of Law.</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 w:name="page16"/>
    <w:bookmarkEnd w:id="1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Board of Directors has concluded that Mr. Potter’s experience practicing as a corporate lawyer provides valuable insight to the Board of Directors on regulatory and risk management issues, and that his tenure in private equity investments and service as a director of both public and private companies provides industry-specific knowledge and expertise to our Board of Directors, and that therefore he is qualified to serve as a member of our Board of Directors, including as Lead Independent Director.</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Ronald M. Lott </w:t>
      </w:r>
      <w:r>
        <w:rPr>
          <w:rFonts w:ascii="Times New Roman" w:cs="Times New Roman" w:eastAsia="Times New Roman" w:hAnsi="Times New Roman"/>
          <w:sz w:val="18"/>
          <w:szCs w:val="18"/>
          <w:color w:val="auto"/>
        </w:rPr>
        <w:t>has served as a member of our Board of Directors since 2015. Mr. Lott, a member of the Professional and College Football Halls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Fame, has served as the managing member of Lott Auto LLC since 2018, the managing member of Lott Auto Land LLC since 2018, the Chief Executive Officer of Lott Auto Ventures, LLC since 2004 and the managing member of Tracy Auto Land, LLC since 1998. Mr. Lott was previously co-partner and owner of Mercedes-Benz of Medford, Oregon from 2003 until 2011 and Stan Morris Chrysler in Tracy, California from 1997 until 1998. Mr. Lott has also been a member of the board of directors of OneMain Holdings, Inc. (NYSE: OMF), a provider of consumer finance and credit insurance products and services, since 2013 and True Capital Management, a wealth management firm designed for professional athletes, entertainers, and high net worth individuals, since 2006. In 1999, Mr. Lott co-founded HRJ Capital, L.L.C., an investment management firm, remaining as a managing partner through 2009, until it was sold. Between 2013 and 2015, Mr. Lott served as a consultant for TVU Networks Corp., a product and service company for the television industry, and has been a consultant at H. Barton Asset Management, LLC since 2009. Mr. Lott serves on the Advisory Board for the following companies: Chegg, Inc., SportsBubble, LLC, ThoughtSpot, Inc., Uptake Technologies, Inc. and YourPeople, Inc. (d/b/a Zenefits). Mr. Lott played 14 seasons in the National Football League before retiring from professional football in 1994.</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has concluded that Mr. Lott’s leadership experience and his extensive business and management experience as a director of a public company and as a small business owner provide significant value to our Board of Directors, and that therefore he is qualified to serve as a member of our Board of Directors.</w:t>
      </w:r>
    </w:p>
    <w:p>
      <w:pPr>
        <w:spacing w:after="0" w:line="17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Marc Mazur </w:t>
      </w:r>
      <w:r>
        <w:rPr>
          <w:rFonts w:ascii="Times New Roman" w:cs="Times New Roman" w:eastAsia="Times New Roman" w:hAnsi="Times New Roman"/>
          <w:sz w:val="18"/>
          <w:szCs w:val="18"/>
          <w:color w:val="auto"/>
        </w:rPr>
        <w:t>has served as a member of our Board of Directors since March 2017. Mr. Mazur has served as an Industry Advisor to Brightwood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Capital Advisors, LLC, a private debt fund, since 2014, as a member of the Board of Directors of American Addiction Centers since August 2024, and as a member of the board of directors of Celularity Inc. from July 2021 to July 2024. He also served as a member of the board of directors for Fibrocell Science, Inc. (NASDAQ: FCSC), an autologous cell and gene therapy company, from April 2010 to December 2019, GX Acquisition Corp., a SPAC which was the predecessor to Celularity Inc. upon its business combination, from May 2019 to July 2021, and GX Acquisition Corp. II, a SPAC, from February 2021 to March 2023 upon the completion of its business combination. Mr. Mazur previously served as the Chief Executive Officer of Brevan Howard U.S. Asset Management, a London-based global macro hedge fund, and as a senior advisor of such company until 2010. He also previously served as a senior advisor to Tsinghua Venture Capital Company. Mr. Mazur served in management roles at Salomon Brothers, Inc., The Goldman Sachs Group, Inc. from 1987 until 1996, and served as a consultant for Goldman from 1997 to 1999. He was an executive with Careinsite/Medical Manager and has served as a director of Staywell Health, DeVilbiss Healthcare, ChanceLight Behavioral Health and other private companies in the wellness, addiction treatment, homecare and medical device fields. Mr. Mazur received his B.A. in Political Science from Columbia University and a J.D. from Villanova University School of Law.</w:t>
      </w:r>
    </w:p>
    <w:p>
      <w:pPr>
        <w:spacing w:after="0" w:line="200" w:lineRule="exact"/>
        <w:rPr>
          <w:sz w:val="20"/>
          <w:szCs w:val="20"/>
          <w:color w:val="auto"/>
        </w:rPr>
      </w:pPr>
    </w:p>
    <w:p>
      <w:pPr>
        <w:spacing w:after="0" w:line="21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has concluded that Mr. Mazur’s senior executive-level experience in finance, healthcare consulting and business strategy, as well as his board experience, provide valuable expertise to the Board of Directors, and that therefore he is qualified to serve as a member of our Board of Directors.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 w:name="page17"/>
    <w:bookmarkEnd w:id="16"/>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Lisa Westley </w:t>
      </w:r>
      <w:r>
        <w:rPr>
          <w:rFonts w:ascii="Times New Roman" w:cs="Times New Roman" w:eastAsia="Times New Roman" w:hAnsi="Times New Roman"/>
          <w:sz w:val="18"/>
          <w:szCs w:val="18"/>
          <w:color w:val="auto"/>
        </w:rPr>
        <w:t>has served as a member of our Board of Directors since July 2019. Ms. Westley is a Managing Director and Head of Strategy, Advent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Tech at Advent International Corporation, a global private equity firm. From 2014 to 2018, Ms. Westley was a Partner and Chief Operating Officer of Brooklands Capital Strategies, a spin-out of TPG Capital that provides global fundraising and strategic advisory services to alternative asset managers and companies at all stages of growth. Prior to Brooklands Capital Strategies, Ms. Westley spent nine years at TPG Capital, initially as the Chief Operating Officer of TPG’s Asia-Pacific private equity business and subsequently as the Global Head of Talent Management. Before TPG, Ms. Westley spent 15 years as an investment banker, having been a Founding Partner, Co-Head of the Consumer Group and Head of the IT Services / Business Services Group at Thomas Weisel Partners and a Senior Managing Director at Montgomery Securities. Ms. Westley began her investment banking career at Goldman, Sachs &amp; Co. and Salomon Brothers, Inc. Ms. Westley received a B.A., phi beta kappa, in Economics and Asian Studies from Amherst College and an M.B.A. from the Stanford Graduate School of Business.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has concluded that Ms. Westley’s leadership experience and her extensive business, management and advisory experience with various companies provide significant value to our Board of Directors, and that therefore she is qualified to serve as a member of our Board of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the Executive Officers Who Are Not Directors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information pertains to our executive officers who are not directors of the Company, as of the Record Date.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51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Executive Officer Since</w:t>
            </w:r>
          </w:p>
        </w:tc>
      </w:tr>
      <w:tr>
        <w:trPr>
          <w:trHeight w:val="198"/>
        </w:trPr>
        <w:tc>
          <w:tcPr>
            <w:tcW w:w="204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Allison Green</w:t>
            </w:r>
          </w:p>
        </w:tc>
        <w:tc>
          <w:tcPr>
            <w:tcW w:w="120" w:type="dxa"/>
            <w:vAlign w:val="bottom"/>
          </w:tcPr>
          <w:p>
            <w:pPr>
              <w:spacing w:after="0"/>
              <w:rPr>
                <w:sz w:val="17"/>
                <w:szCs w:val="17"/>
                <w:color w:val="auto"/>
              </w:rPr>
            </w:pPr>
          </w:p>
        </w:tc>
        <w:tc>
          <w:tcPr>
            <w:tcW w:w="1460" w:type="dxa"/>
            <w:vAlign w:val="bottom"/>
            <w:tcBorders>
              <w:top w:val="single" w:sz="8" w:color="auto"/>
            </w:tcBorders>
          </w:tcPr>
          <w:p>
            <w:pPr>
              <w:jc w:val="right"/>
              <w:ind w:right="550"/>
              <w:spacing w:after="0" w:line="198" w:lineRule="exact"/>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7"/>
                <w:szCs w:val="17"/>
                <w:color w:val="auto"/>
              </w:rPr>
            </w:pPr>
          </w:p>
        </w:tc>
        <w:tc>
          <w:tcPr>
            <w:tcW w:w="494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Chief Financial Officer, Chief Compliance Officer, Treasurer, and</w:t>
            </w:r>
          </w:p>
        </w:tc>
        <w:tc>
          <w:tcPr>
            <w:tcW w:w="100" w:type="dxa"/>
            <w:vAlign w:val="bottom"/>
          </w:tcPr>
          <w:p>
            <w:pPr>
              <w:spacing w:after="0"/>
              <w:rPr>
                <w:sz w:val="17"/>
                <w:szCs w:val="17"/>
                <w:color w:val="auto"/>
              </w:rPr>
            </w:pPr>
          </w:p>
        </w:tc>
        <w:tc>
          <w:tcPr>
            <w:tcW w:w="2480" w:type="dxa"/>
            <w:vAlign w:val="bottom"/>
            <w:tcBorders>
              <w:top w:val="single" w:sz="8" w:color="auto"/>
            </w:tcBorders>
          </w:tcPr>
          <w:p>
            <w:pPr>
              <w:jc w:val="right"/>
              <w:ind w:right="970"/>
              <w:spacing w:after="0" w:line="198" w:lineRule="exact"/>
              <w:rPr>
                <w:sz w:val="20"/>
                <w:szCs w:val="20"/>
                <w:color w:val="auto"/>
              </w:rPr>
            </w:pPr>
            <w:r>
              <w:rPr>
                <w:rFonts w:ascii="Times New Roman" w:cs="Times New Roman" w:eastAsia="Times New Roman" w:hAnsi="Times New Roman"/>
                <w:sz w:val="18"/>
                <w:szCs w:val="18"/>
                <w:color w:val="auto"/>
              </w:rPr>
              <w:t>2018</w:t>
            </w:r>
          </w:p>
        </w:tc>
      </w:tr>
      <w:tr>
        <w:trPr>
          <w:trHeight w:val="234"/>
        </w:trPr>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1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Corporate Secretary</w:t>
            </w:r>
          </w:p>
        </w:tc>
        <w:tc>
          <w:tcPr>
            <w:tcW w:w="2480" w:type="dxa"/>
            <w:vAlign w:val="bottom"/>
          </w:tcPr>
          <w:p>
            <w:pPr>
              <w:spacing w:after="0"/>
              <w:rPr>
                <w:sz w:val="20"/>
                <w:szCs w:val="20"/>
                <w:color w:val="auto"/>
              </w:rPr>
            </w:pPr>
          </w:p>
        </w:tc>
      </w:tr>
    </w:tbl>
    <w:p>
      <w:pPr>
        <w:spacing w:after="0" w:line="200" w:lineRule="exact"/>
        <w:rPr>
          <w:sz w:val="20"/>
          <w:szCs w:val="20"/>
          <w:color w:val="auto"/>
        </w:rPr>
      </w:pPr>
    </w:p>
    <w:p>
      <w:pPr>
        <w:spacing w:after="0" w:line="21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Allison Green </w:t>
      </w:r>
      <w:r>
        <w:rPr>
          <w:rFonts w:ascii="Times New Roman" w:cs="Times New Roman" w:eastAsia="Times New Roman" w:hAnsi="Times New Roman"/>
          <w:sz w:val="18"/>
          <w:szCs w:val="18"/>
          <w:color w:val="auto"/>
        </w:rPr>
        <w:t>has served as our Chief Financial Officer since April 2019, as our Chief Compliance Officer since March 2020, and as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Treasurer and Corporate Secretary since June 2018. Ms. Green served as our Controller from July 2017 to April 2019 and as our Senior Vice President of Finance from May 2018 to April 2019. She also served as the Vice President of GSV Asset Management, LLC, the Company’s former external investment adviser, from July 2017 to March 2019. Prior to joining the Company and GSV Asset Management, LLC, she was the Controller and an accounting and financial consultant at Rise Companies Corp., the parent company of Fundrise, a Washington DC-based crowdfunded real estate investment platform, from April 2016 to April 2017. Prior to Rise Companies Corp., Ms. Green was the Controller at the Girl Scout Council of the Nation’s Capital and a ProInspire Fellow at the Council from September 2013 to April 2016. Ms. Green was a member of the Fund Management and Coinvestment teams at The Carlyle Group, focusing on Europe and US Real Estate and Energy Funds from June 2009 to August 2013 and began her career at Deloitte &amp; Touche LLP in Los Angeles as an audit associate focused on financial services clients. Ms. Green graduated with degrees in Accounting and Finance from the University of Southern California.</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rules of the Nasdaq Global Select Market, our Board of Directors annually determines each director’s independence. We do not consider a director independent unless the Board of Directors has determined that he or she has no material relationship with us and that he or she satisfied the independence requirements of the 1940 Act. We monitor the relationships of our directors and officers through a questionnaire each director completes no less frequently than annually and updates periodically as information provided in the most recent questionnaire changes.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order to evaluate the materiality of any such relationship, the Board of Directors uses the definition of director independence set forth in the rules promulgated by the Nasdaq Global Select Market. The applicable Nasdaq Global Select Market rules provide that a director of a BDC shall be considered to be independent if he or she is not an “interested person” of the Company, as defined in Section 2(a)(19) of the 1940 Act.</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Board of Directors has determined that each of Ms. Westley and Messrs. Potter, Lott, and Mazur is independent and has no relationship with us, except as a director and/or stockholder. Mr. Klein is not independent due to his position as our Chief Executive Officer and President.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Board of Directors monitors and performs an oversight role with respect to the business and affairs of the Company, including with respect to investment practices and performance, compliance with regulatory requirements, and the services, expenses and performance of service providers to the Company. Among other things, our Board of Directors approves the appointment of our executive officers, reviews and monitors the services and activities performed by our executive officers and approves the engagement, and reviews the performance of, our independent public accounting firm.</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our bylaws, our Board of Directors may designate a Chair to preside over the meetings of the Board of Directors and meetings of the stockholders and to perform such other duties as may be assigned to him by the Board of Directors. We do not have a fixed policy as to whether the Chair of the Board of Directors should be an independent director and believe that we should maintain the flexibility to select the Chair and reorganize the leadership structure, from time to time, based on the criteria that is in the best interests of the Company and its stockholders at such times.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Board of Directors has appointed Mr. Klein to serve as Chair of the Board of Directors. Mr. Klein is an “interested person” of the Company (as defined in Section 2(a)(19) of the 1940 Act) due to his position as our Chief Executive Officer and President. Our Board of Directors believes that Mr. Klein is best situated to serve as Chair of the Board of Directors given his history with the Company, familiarity with its business and industry, extensive knowledge of the financial and investment banking industries and experience as a director of other publicly traded companies. The Company’s independent directors bring experience, oversight and expertise from outside the Company and industry, while Mr. Klein brings Company-specific and industry-specific experience and expertise. We believe that the Company is best served through the existing leadership structure of the Board of Directors, as it promotes strategy development and execution and effective corporate governance, and Mr. Klein’s relationship with management provides an effective bridge and encourages an open dialogue between management and the Board of Directors, ensuring that both groups act with a common purpose.</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Board of Directors has appointed Mr. Potter, one of our independent directors, to serve as Lead Independent Director. The Lead Independent Director presides over executive sessions of the independent directors and serves as a key point person for interactions and communications between management and the independent directors. Our corporate governance policies include regular meetings of the independent directors in executive session without the presence of interested directors and management, the establishment of audit, valuation, compensation and nominating and corporate governance committees comprised solely of independent directors, and the appointment of a Chief Compliance Officer, with whom the independent directors meet regularly without the presence of interested directors and other members of management, for administering our compliance policies and procedures.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8" w:name="page19"/>
    <w:bookmarkEnd w:id="18"/>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recognize that different board leadership structures are appropriate for companies in different situations. We intend to re-examine our corporate governance policies on an ongoing basis to ensure that they continue to meet the Company’s needs.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 Role in Risk Oversight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performs its risk oversight function primarily through (a) its four standing committees, each comprised solely of independent directors, which report to the entire Board of Directors, and (b) active monitoring of our Chief Compliance Officer and our compliance policies and procedures and performance thereunder.</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described below in more detail under “Committees of the Board of Directors,” the Audit Committee, Nominating and Corporate Governance Committee, Compensation Committee and Valuation Committee assist the Board of Directors in fulfilling its risk oversight responsibilities. The Audit Committee’s risk oversight responsibilities include overseeing our accounting and financial reporting processes, our systems of internal controls regarding finance and accounting, and audits of our financial statements. The Nominating and Corporate Governance Committee’s risk oversight responsibilities include selecting, researching and nominating directors for election by our stockholders, developing and recommending to the Board of Directors a set of corporate governance principles and overseeing the evaluation of the Board of Directors and our management. The Compensation Committee’s risk oversight responsibilities include assisting the Board of Directors with matters related to compensation generally, including director and executive officer compensation. The Valuation Committee’s risk oversight responsibilities include establishing guidelines and making recommendations to our Board of Directors regarding the valuation of our investments.</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Board of Directors also performs its risk oversight responsibilities with the assistance of the Chief Compliance Officer. The Board of Directors, at least annually, reviews a written report from the Chief Compliance Officer discussing the adequacy and effectiveness of our compliance policies and procedures and those of our service providers. The Chief Compliance Officer’s annual report addresses, at a minimum, (a) the operation of our compliance policies and procedures and those of our service providers since the last report; (b) any material changes to such policies and procedures since the last report; (c) any recommendations for material changes to such policies and procedures as a result of the Chief Compliance Officer’s annual review; and (d) any compliance matter that has occurred since the date of the last report about which the Board of Directors would reasonably need to know to oversee our compliance activities and risks. In addition, the Chief Compliance Officer meets separately in executive session with the independent directors at least once each year.</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Board of Directors’ role in risk oversight is effective and appropriate given the extensive regulation to which we are already subject as a BDC. As a BDC, we are required to comply with certain regulatory requirements that control the levels of risk in our business and operations. For example, our ability to incur indebtedness is limited such that our asset coverage must equal at least 200% (or 150% if certain requirements under the 1940 Act are met) immediately after each time we incur indebtedness, we generally have to invest at least 70% of our gross assets in “qualifying assets,” and we are not generally permitted to invest in any portfolio company in which one of our affiliates currently has an investment.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recognize that different board roles in risk oversight are appropriate for companies in different situations. We intend to re-examine the manners in which our Board of Directors administers its oversight function on an ongoing basis to ensure that they continue to meet our needs.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Board of Directors has established an Audit Committee, Nominating and Corporate Governance Committee, a Valuation Committee and a Compensation Committee. During the fiscal year ended December 31, 2024, our Board of Directors held six meetings, our Audit Committee held six meetings, our Nominating and Corporate Governance Committee held one meeting, our Valuation Committee held seven meetings and our Compensation Committee held six meetings. All incumbent directors attended at least 75% of the aggregate number of meetings of the Board of Directors and of the respective committees on which they serve. We require each director to make a diligent effort to attend all board and committee meetings, as well as each annual meeting of stockholders. In 2024, all of our directors attended the annual meeting of stockholders.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Audit Committee operates pursuant to a charter approved by our Board of Directors, which sets forth the responsibilities of the Audit Committee and which is made available on our website at </w:t>
      </w:r>
      <w:r>
        <w:rPr>
          <w:rFonts w:ascii="Times New Roman" w:cs="Times New Roman" w:eastAsia="Times New Roman" w:hAnsi="Times New Roman"/>
          <w:sz w:val="18"/>
          <w:szCs w:val="18"/>
          <w:i w:val="1"/>
          <w:iCs w:val="1"/>
          <w:color w:val="auto"/>
        </w:rPr>
        <w:t>https://investors.surocap.com/corporate-governance</w:t>
      </w:r>
      <w:r>
        <w:rPr>
          <w:rFonts w:ascii="Times New Roman" w:cs="Times New Roman" w:eastAsia="Times New Roman" w:hAnsi="Times New Roman"/>
          <w:sz w:val="18"/>
          <w:szCs w:val="18"/>
          <w:color w:val="auto"/>
        </w:rPr>
        <w:t>. The Audit Committee’s responsibilities include selecting our independent registered public accounting firm, reviewing with such independent registered public accounting firm the planning, scope and results of its audit of our financial statements, pre-approving the fees for services performed, reviewing with the independent registered public accounting firm the adequacy of our internal control systems, reviewing our annual financial statements and periodic filings and receiving our audit reports and financial statements.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Audit Committee is currently composed of Ms. Westley and Messrs. Lott, Mazur and Potter, each of whom is considered independent under the rules of the Nasdaq Global Select Market and is not an “interested person” of SuRo Capital as that term is defined in Section 2(a)(19) of the 1940 Act. Mr. Mazur serves as Chair of the Audit Committee. Our Board of Directors has determined that Mr. Potter is an “audit committee financial expert” as that term is defined under Item 407 of Regulation S-K, as promulgated under the Exchange Act. Each of Ms. Westley and Messrs. Lott, Mazur and Potter meets the current independence and experience requirements of Rule 10A-3 of the Exchange Act.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Nominating and Corporate Governance Committee operates pursuant to a charter approved by our Board of Directors, which is made available on our website at </w:t>
      </w:r>
      <w:r>
        <w:rPr>
          <w:rFonts w:ascii="Times New Roman" w:cs="Times New Roman" w:eastAsia="Times New Roman" w:hAnsi="Times New Roman"/>
          <w:sz w:val="18"/>
          <w:szCs w:val="18"/>
          <w:i w:val="1"/>
          <w:iCs w:val="1"/>
          <w:color w:val="auto"/>
        </w:rPr>
        <w:t>https://investors.surocap.com/corporate-governance</w:t>
      </w:r>
      <w:r>
        <w:rPr>
          <w:rFonts w:ascii="Times New Roman" w:cs="Times New Roman" w:eastAsia="Times New Roman" w:hAnsi="Times New Roman"/>
          <w:sz w:val="18"/>
          <w:szCs w:val="18"/>
          <w:color w:val="auto"/>
        </w:rPr>
        <w:t>. The members of the Nominating and Corporate Governance Committee are Ms. Westley and Messrs. Potter, Lott and Mazur, each of whom is considered independent under the rules of the Nasdaq Capital Market and is not an “interested person” of SuRo Capital as that term is defined in Section 2(a)(19) of the 1940 Act. Mr. Lott serves as Chair of the Nominating and Corporate Governance Committee.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Nominating and Corporate Governance Committee is responsible for selecting, researching and nominating directors for election by our stockholders, selecting nominees to fill vacancies on the Board of Directors or a committee thereof, developing and recommending to the Board of Directors a set of corporate governance principles and overseeing the evaluation of the Board of Directors and our management. The Nominating and Corporate Governance Committee’s policy is to consider nominees properly recommended by our stockholders in accordance with our charter, bylaws and applicable law. See “Submission of Stockholder Proposals” in this Proxy Statement for more information.</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Nominating and Corporate Governance Committee seeks candidates who possess the background, skills and expertise to make a significant contribution to us, our stockholders and our Board of Directors. In considering possible candidates for election as a director, the Nominating and Corporate Governance Committee takes into account, in addition to such other factors as it deems relevant, the desirability of selecting directors who:</w:t>
      </w:r>
    </w:p>
    <w:p>
      <w:pPr>
        <w:spacing w:after="0" w:line="176" w:lineRule="exact"/>
        <w:rPr>
          <w:sz w:val="20"/>
          <w:szCs w:val="20"/>
          <w:color w:val="auto"/>
        </w:rPr>
      </w:pPr>
    </w:p>
    <w:p>
      <w:pPr>
        <w:ind w:left="98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of the highest character and integrity and have an inquiring mind, vision, a willingness to ask hard questions and the ability to work well with others;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free of any conflict of interest that would violate any applicable law or regulation or interfere with the proper performance of the responsibilities of a director;</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willing and able to devote sufficient time to the affairs of the Company and are diligent in fulfilling the responsibilities of a member of the Board of Directors and a member of any committees thereof  (including developing and maintaining sufficient knowledge of the Company and the specialty finance industry in general; reviewing and analyzing reports and other information important to responsibilities of the Board of Directors and any committee thereof; preparing for, attending and participating in meetings of the Board of Directors and meetings of any committee thereof; and satisfying appropriate orientation and continuing education guidelines); and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0" w:name="page21"/>
    <w:bookmarkEnd w:id="20"/>
    <w:p>
      <w:pPr>
        <w:ind w:left="980" w:hanging="324"/>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capacity and desire to represent the balanced, best interests of the stockholders of SuRo Capital as a whole and not primarily a special interest group or constituency.</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Nominating and Corporate Governance Committee has not adopted a formal policy with regard to the consideration of diversity in identifying director-nominees. In determining whether to recommend a director-nominee, the Nominating and Corporate Governance Committee considers and discusses diversity, among other factors, with a view toward the needs of the Board of Directors as a whole. When identifying and recommending director-nominees, the Nominating and Corporate Governance Committee generally conceptualizes diversity expansively to include, without limitation, concepts such as race, gender, national origin, differences of viewpoint, professional experience, education, skill and other qualities that contribute to the Board of Directors. The Nominating and Corporate Governance Committee believes that the inclusion of diversity as one of many factors considered in selecting director-nominees is consistent with the Nominating and Corporate Governance Committee’s goal of creating a Board of Directors that best serves our needs and the interests of our stockholders.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Committee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Valuation Committee establishes guidelines and makes recommendations to our Board of Directors regarding the valuation of our investments. The Board of Directors and Valuation Committee utilize the services of nationally recognized third-party valuation firms to help determine the fair value of our securities that are not publicly traded and for which there are no readily available market quotations including securities that, while listed on a private securities exchange, have not actively traded. The Valuation Committee is presently composed of Ms. Westley and Messrs. Lott, Mazur and Potter, each of whom is considered independent under the rules of the Nasdaq Global Select Market and is not an “interested person” of the Company, as that term is defined in Section 2(a)(19) of the 1940 Act. Mr. Potter serves as Chair of the Valuation Committee.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Compensation Committee operates pursuant to a charter approved by our Board of Directors, which is made available on our website at </w:t>
      </w:r>
      <w:r>
        <w:rPr>
          <w:rFonts w:ascii="Times New Roman" w:cs="Times New Roman" w:eastAsia="Times New Roman" w:hAnsi="Times New Roman"/>
          <w:sz w:val="18"/>
          <w:szCs w:val="18"/>
          <w:i w:val="1"/>
          <w:iCs w:val="1"/>
          <w:color w:val="auto"/>
        </w:rPr>
        <w:t>https://investors.surocap.com/corporate-governance</w:t>
      </w:r>
      <w:r>
        <w:rPr>
          <w:rFonts w:ascii="Times New Roman" w:cs="Times New Roman" w:eastAsia="Times New Roman" w:hAnsi="Times New Roman"/>
          <w:sz w:val="18"/>
          <w:szCs w:val="18"/>
          <w:color w:val="auto"/>
        </w:rPr>
        <w:t>. The Compensation Committee is responsible for reviewing and approving compensation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reviewing and making recommendations to the Board of Directors regarding incentive compensation and equity-based plans. In connection with reviewing and approving compensation of our executive officers, the Compensation Committee, among other things, (i) considers the Company’s goals and objectives relevant to executive officer compensation; (ii) evaluates each executive officer’s performance in light of such goals and objectives and set each executive officer’s compensation based on such evaluation and such other factors as the Compensation Committee deems appropriate and in the best interests of the Company (including the cost to the Company of such compensation); and (iii) determines any long-term incentive component of each executive officer’s compensation based on awards given to such executive officer in past years (if any), the Company’s performance, stockholder return and the value of similar incentive awards relative to such targets at comparable companies and such other factors as the Compensation Committee deems appropriate and in the best interests of the Company (including the cost to the Company of such compensation). In addition, the Compensation Committee is responsible for assisting the Board of Directors with matters related to compensation generally, including director and executive officer compensation. The Compensation Committee has the authority to engage compensation consultants and to delegate their duties and responsibilities to a member or to a subcommittee of the Compensation Committee.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Compensation Committee is presently composed of Ms. Westley and Messrs. Lott, Potter and Mazur, each of whom is considered independent under the rules of the Nasdaq Global Select Market and is not an “interested person” of the Company, as that term is defined in Section 2(a)</w:t>
      </w:r>
    </w:p>
    <w:p>
      <w:pPr>
        <w:ind w:left="5540" w:right="5220" w:hanging="5532"/>
        <w:spacing w:after="0" w:line="530" w:lineRule="auto"/>
        <w:tabs>
          <w:tab w:leader="none" w:pos="359"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the 1940 Act. Ms. Westley serves as Chair of the Compensation Committee.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 Interlocks and Insider Participation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the fiscal year ended December 31, 2024, no member of the Compensation Committee was an officer, former officer or employee of ours or had any relationship with the Company requiring disclosure under Item 404 of Regulation S-K. Each member of the Compensation Committee is independent for purposes of the applicable listing standards of the Nasdaq Global Select Market. In addition, no Compensation Committee interlocking relationships, as set forth under Item 407(e) of Regulation S-K, existed during the fiscal year ended December 31, 2024 between any member of the Board of Directors, the Compensation Committee or our executive officers.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 with the Board of Directors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Stockholders with questions about us are encouraged to contact our Investor Relations Department. However, if stockholders believe that their questions have not been addressed, they may communicate with our Board of Directors by sending their communications to SuRo Capital Corp., Board of Directors, 640 Fifth Avenue, 12th Floor, New York, New York 10019. Stockholders should indicate clearly the director or directors to whom the communication is being sent so that each communication may be forwarded directly to the appropriate director(s).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communications involving accounting, internal accounting controls and auditing matters, possible violations of or non-compliance with applicable legal and regulatory requirements or policies, or retaliatory acts against anyone who makes such a complaint or assists in the investigation of such a complaint, will be referred to the Audit Committee.</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acceptance and forwarding of a communication to any director does not imply that the director owes or assumes any fiduciary duty to the person submitting the communication, all such duties being only as prescribed by applicable law.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Hedging, Speculative Trading and Pledging of Securities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insider trading policy prohibits our directors, executive officers and employees from engaging in any short-term trading, short sales and other speculative transactions involving our securities, including buying or selling puts or calls or other derivative securities based on our securities. In addition, such persons are prohibited under our insider trading policy from (i) entering into hedging or monetization transactions (such as zero-cost collars and forward-sale contracts) or similar arrangements, except in circumstances that are pre-approved by our Chief Compliance Officer, and (ii) pledging our securities in a margin account or as collateral for a loan, except that our securities may be pledged as collateral for a loan (not including margin debt) if such person clearly demonstrates the financial capacity to repay the loan without resort to the pledged securities and such transaction is pre-approved by our Chief Compliance Officer.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have adopted a code of business conduct and ethics which applies to, among others, our senior officers, including our Chief Executive Officer and President and our Chief Financial Officer, as well as any of our directors and employees. Our code of business conduct and ethics is available on our website at </w:t>
      </w:r>
      <w:r>
        <w:rPr>
          <w:rFonts w:ascii="Times New Roman" w:cs="Times New Roman" w:eastAsia="Times New Roman" w:hAnsi="Times New Roman"/>
          <w:sz w:val="18"/>
          <w:szCs w:val="18"/>
          <w:i w:val="1"/>
          <w:iCs w:val="1"/>
          <w:color w:val="auto"/>
        </w:rPr>
        <w:t>https://investors.surocap.com/corporate-governance.</w:t>
      </w:r>
      <w:r>
        <w:rPr>
          <w:rFonts w:ascii="Times New Roman" w:cs="Times New Roman" w:eastAsia="Times New Roman" w:hAnsi="Times New Roman"/>
          <w:sz w:val="18"/>
          <w:szCs w:val="18"/>
          <w:color w:val="auto"/>
        </w:rPr>
        <w:t xml:space="preserve"> We will report any material amendments to or waivers of a required provision of our code of conduct and/or corporate governance guidelines on our website and/or in a current report on Form 8-K filed with the SEC.</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OF DIRECTORS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compensation that we paid during the year ended December 31, 2024 to our independent directors. Directors who are employees and therefore “interested persons” of the Company (as such term is defined in Section 2(a)(19) of the 1940 Act) do not receive compensation for their services as directors.</w:t>
      </w:r>
    </w:p>
    <w:p>
      <w:pPr>
        <w:spacing w:after="0" w:line="172"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Fees Earned</w:t>
            </w:r>
          </w:p>
        </w:tc>
        <w:tc>
          <w:tcPr>
            <w:tcW w:w="240" w:type="dxa"/>
            <w:vAlign w:val="bottom"/>
          </w:tcPr>
          <w:p>
            <w:pPr>
              <w:spacing w:after="0"/>
              <w:rPr>
                <w:sz w:val="18"/>
                <w:szCs w:val="18"/>
                <w:color w:val="auto"/>
              </w:rPr>
            </w:pPr>
          </w:p>
        </w:tc>
        <w:tc>
          <w:tcPr>
            <w:tcW w:w="1560" w:type="dxa"/>
            <w:vAlign w:val="bottom"/>
            <w:gridSpan w:val="2"/>
            <w:vMerge w:val="restart"/>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jc w:val="center"/>
              <w:ind w:right="460"/>
              <w:spacing w:after="0" w:line="184" w:lineRule="exact"/>
              <w:rPr>
                <w:sz w:val="20"/>
                <w:szCs w:val="20"/>
                <w:color w:val="auto"/>
              </w:rPr>
            </w:pPr>
            <w:r>
              <w:rPr>
                <w:rFonts w:ascii="Times New Roman" w:cs="Times New Roman" w:eastAsia="Times New Roman" w:hAnsi="Times New Roman"/>
                <w:sz w:val="18"/>
                <w:szCs w:val="18"/>
                <w:b w:val="1"/>
                <w:bCs w:val="1"/>
                <w:color w:val="auto"/>
                <w:w w:val="99"/>
              </w:rPr>
              <w:t>or Paid in</w:t>
            </w:r>
          </w:p>
        </w:tc>
        <w:tc>
          <w:tcPr>
            <w:tcW w:w="24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2"/>
          </w:tcPr>
          <w:p>
            <w:pPr>
              <w:ind w:left="260"/>
              <w:spacing w:after="0" w:line="184" w:lineRule="exact"/>
              <w:rPr>
                <w:sz w:val="20"/>
                <w:szCs w:val="20"/>
                <w:color w:val="auto"/>
              </w:rPr>
            </w:pPr>
            <w:r>
              <w:rPr>
                <w:rFonts w:ascii="Times New Roman" w:cs="Times New Roman" w:eastAsia="Times New Roman" w:hAnsi="Times New Roman"/>
                <w:sz w:val="18"/>
                <w:szCs w:val="18"/>
                <w:b w:val="1"/>
                <w:bCs w:val="1"/>
                <w:color w:val="auto"/>
              </w:rPr>
              <w:t>All Other</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00" w:type="dxa"/>
            <w:vAlign w:val="bottom"/>
          </w:tcPr>
          <w:p>
            <w:pPr>
              <w:spacing w:after="0"/>
              <w:rPr>
                <w:sz w:val="23"/>
                <w:szCs w:val="23"/>
                <w:color w:val="auto"/>
              </w:rPr>
            </w:pPr>
          </w:p>
        </w:tc>
        <w:tc>
          <w:tcPr>
            <w:tcW w:w="16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Cash</w:t>
            </w:r>
          </w:p>
        </w:tc>
        <w:tc>
          <w:tcPr>
            <w:tcW w:w="240" w:type="dxa"/>
            <w:vAlign w:val="bottom"/>
          </w:tcPr>
          <w:p>
            <w:pPr>
              <w:spacing w:after="0"/>
              <w:rPr>
                <w:sz w:val="23"/>
                <w:szCs w:val="23"/>
                <w:color w:val="auto"/>
              </w:rPr>
            </w:pPr>
          </w:p>
        </w:tc>
        <w:tc>
          <w:tcPr>
            <w:tcW w:w="1560" w:type="dxa"/>
            <w:vAlign w:val="bottom"/>
            <w:gridSpan w:val="2"/>
          </w:tcPr>
          <w:p>
            <w:pPr>
              <w:jc w:val="right"/>
              <w:ind w:right="640"/>
              <w:spacing w:after="0" w:line="270" w:lineRule="exact"/>
              <w:rPr>
                <w:sz w:val="20"/>
                <w:szCs w:val="20"/>
                <w:color w:val="auto"/>
              </w:rPr>
            </w:pPr>
            <w:r>
              <w:rPr>
                <w:rFonts w:ascii="Times New Roman" w:cs="Times New Roman" w:eastAsia="Times New Roman" w:hAnsi="Times New Roman"/>
                <w:sz w:val="18"/>
                <w:szCs w:val="18"/>
                <w:b w:val="1"/>
                <w:bCs w:val="1"/>
                <w:color w:val="auto"/>
              </w:rPr>
              <w:t>Awards</w:t>
            </w:r>
            <w:r>
              <w:rPr>
                <w:rFonts w:ascii="Times New Roman" w:cs="Times New Roman" w:eastAsia="Times New Roman" w:hAnsi="Times New Roman"/>
                <w:sz w:val="29"/>
                <w:szCs w:val="29"/>
                <w:b w:val="1"/>
                <w:bCs w:val="1"/>
                <w:color w:val="auto"/>
                <w:vertAlign w:val="superscript"/>
              </w:rPr>
              <w:t>(1)</w:t>
            </w:r>
          </w:p>
        </w:tc>
        <w:tc>
          <w:tcPr>
            <w:tcW w:w="160" w:type="dxa"/>
            <w:vAlign w:val="bottom"/>
          </w:tcPr>
          <w:p>
            <w:pPr>
              <w:spacing w:after="0"/>
              <w:rPr>
                <w:sz w:val="23"/>
                <w:szCs w:val="23"/>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340" w:type="dxa"/>
            <w:vAlign w:val="bottom"/>
          </w:tcPr>
          <w:p>
            <w:pPr>
              <w:spacing w:after="0"/>
              <w:rPr>
                <w:sz w:val="23"/>
                <w:szCs w:val="23"/>
                <w:color w:val="auto"/>
              </w:rPr>
            </w:pPr>
          </w:p>
        </w:tc>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9"/>
        </w:trPr>
        <w:tc>
          <w:tcPr>
            <w:tcW w:w="3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Leonard A. Potter</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135,000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5"/>
              </w:rPr>
              <w:t>185,000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Ronald M. Lott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115,000</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165,000</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 Mazur</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120,000</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170,000</w:t>
            </w:r>
          </w:p>
        </w:tc>
        <w:tc>
          <w:tcPr>
            <w:tcW w:w="0" w:type="dxa"/>
            <w:vAlign w:val="bottom"/>
          </w:tcPr>
          <w:p>
            <w:pPr>
              <w:spacing w:after="0"/>
              <w:rPr>
                <w:sz w:val="1"/>
                <w:szCs w:val="1"/>
                <w:color w:val="auto"/>
              </w:rPr>
            </w:pPr>
          </w:p>
        </w:tc>
      </w:tr>
      <w:tr>
        <w:trPr>
          <w:trHeight w:val="234"/>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Lisa Westley</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115,000</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165,000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7830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94" w:lineRule="exact"/>
        <w:rPr>
          <w:sz w:val="20"/>
          <w:szCs w:val="20"/>
          <w:color w:val="auto"/>
        </w:rPr>
      </w:pPr>
    </w:p>
    <w:p>
      <w:pPr>
        <w:jc w:val="both"/>
        <w:ind w:left="340" w:hanging="332"/>
        <w:spacing w:after="0" w:line="255"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Messrs. Potter, Lott and Mazur and Ms. Westley (the “Independent Directors”) were granted 12,048 restricted shares of the Company’s common stock on June 5, 2024 under the Amended Equity Incentive Plan, which shares vest in full on the earlier of (i) the one-year anniversary of the date of grant of (ii) the date of our annual shareholder meeting. As such, these restricted shares were unvested and outstanding as of December 31, 2024. The amounts reflected in the table represent the grant date fair value of such restricted share grants in accordance with FASB ASC Topic 718 based on the closing price of our common stock on the Nasdaq Global Select Market on the grant date. Pursuant to SEC rules, the amounts shown exclude the impact of any estimated forfeitures related to service-based vesting conditions. Such amounts may not correspond to the actual value that will be recognized by such independent directors upon vesting.</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Compensation Committee periodically reviews the compensation of our independent directors and recommends any changes to the Board of Directors for approval. Our independent directors currently receive an annual fee of $100,000. They also receive reimbursement of reasonable out-of-pocket expenses incurred in connection with attending each Board of Directors and committee meeting in person. The Chair of the Audit Committee and the Lead Independent Director of the Board of Directors each receive an annual cash fee of $20,000, and each Chair of the other committees receives an annual fee of $15,000 for his or her additional services in these capacities. No compensation is paid to directors who are “interested persons” of the Company (as such term is defined in Section 2(a)(19) of the 1940 Act) for their service on the Board of Directors.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Amended Equity Incentive Plan provides a means through which we may attract and retain qualified independent directors to enter into and remain in service on our Board of Directors. Pursuant to the terms of the Amended Equity Incentive Plan, each of our independent directors annually receives $50,000 in restricted shares on the date of each annual meeting of stockholders, with the number of restricted shares determined by dividing such amount by the closing price of our common stock on the Nasdaq Global Select Market on the date of grant. Each grant of $50,000 in restricted shares will vest if the independent director is in continuous service with the Company through the anniversary of such grant (or, if earlier, the annual meeting of the Company’s stockholders that is closest to the anniversary of such grant).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Compensation Discussion and Analysis, or CD&amp;A, provides information relating to the compensation of the Company’s Named Executive Officers, or NEOs, for 2024, who were:</w:t>
      </w:r>
    </w:p>
    <w:p>
      <w:pPr>
        <w:spacing w:after="0" w:line="162" w:lineRule="exact"/>
        <w:rPr>
          <w:sz w:val="20"/>
          <w:szCs w:val="20"/>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 D. Klein, Chairman and Member of the Board of Directors, Chief Executive Officer and President;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Allison Green, Chief Financial Officer, Chief Compliance Officer, Treasurer, and Corporate Secretary.</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an internally managed BDC and our senior management team consists of Mark D. Klein and Allison Green. These executive officers have entered into employment agreements with us and are compensated according to the terms of such agreements, which are described below under “Employment Agreements.”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Philosophy and Objectives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executive compensation program is designed to attract and retain key executives, motivate them to achieve our business objectives, reward them for performance, encourage them to think and act like our stockholders and align their interests with those of our stockholders. The structure of the NEOs’ employment agreements and our incentive compensation programs are designed to encourage and reward the following, among other things:</w:t>
      </w:r>
    </w:p>
    <w:p>
      <w:pPr>
        <w:spacing w:after="0" w:line="176" w:lineRule="exact"/>
        <w:rPr>
          <w:sz w:val="20"/>
          <w:szCs w:val="20"/>
          <w:color w:val="auto"/>
        </w:rPr>
      </w:pPr>
    </w:p>
    <w:p>
      <w:pPr>
        <w:ind w:left="98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sourcing and pursuing attractively priced investment opportunities in the securities of rapidly growing venture capital-backed emerging companies;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accomplishing our investment objectives;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we allocate capital in the most effective manner possible;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stockholder value.</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compensation program for our NEOs is structured to reflect what we believe to be appropriate practices in corporate governance and executive compensation. The Compensation Committee has the primary authority to establish compensation for the NEOs and administers all executive compensation arrangements and policies. The Company’s Chief Executive Officer assists the Compensation Committee by providing recommendations regarding the compensation of NEOs, excluding himself. The Compensation Committee exercises its discretion by modifying or accepting these recommendations. The Chief Executive Officer and other members of management routinely attend a portion of the Compensation Committee meetings. However, the Compensation Committee often meets in executive session without the Chief Executive Officer or other members of management when discussing compensation matters and on other occasions as determined by the Compensation Committee.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Compensation Committee takes into account competitive market practices with respect to the salaries and total direct compensation of the NEOs and other key employees. Members of the Compensation Committee consider market practices by reviewing public and non-public information for executives at comparable companies and funds.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Independent Compensation Consultant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Compensation Committee may engage independent compensation consultants to assist the Compensation Committee and provide advice on a variety of compensation matters relating to NEO, other key employee and independent director compensation, incentive compensation plans and compensation trends, best practices and regulatory matters. Any such compensation consultants are hired by and report directly to the Compensation Committee. Although compensation consultants may work directly with management on behalf of the Compensation Committee, any such work is under the control and supervision of the Compensation Committee.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4" w:name="page25"/>
    <w:bookmarkEnd w:id="24"/>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Compensation Committee retained Mercer (US) LLC (“Mercer”) as an independent compensation consultant to provide such compensation consulting services for the 2024 fiscal year, including to benchmark and opine on market competitive compensation levels and mix necessary to attract and retain quality executive officers, other key employees and independent directors. From time to time and in support of Mercer’s role as an adviser to the Compensation Committee, Mercer receives input regarding the Company’s strategic goals and the manner in which executive and independent director compensation should support these goals. The Compensation Committee evaluated Mercer’s independence from the Company and determined that Mercer is independent primarily because neither it nor its affiliates work for management of the Company, receive compensation from the Company other than its work in advising the Compensation Committee, or maintain other economic relationships with the Company or any of its affiliates.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Assessment of Market Data</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assessing the competitiveness of executive compensation levels, the Compensation Committee analyzes market data of certain companies, including internally managed BDCs, private equity firms and other asset management and financial services companies. This analysis focuses on the compensation practices at companies and funds reasonably comparable in asset size, typical investment size and type, market capitalization and general business scope as compared to the Company. The key elements of compensation, including base salary, annual bonuses, and long-term incentives are reviewed.</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regards to other internally managed BDCs like the Company, the Compensation Committee considers the compensation practices and policies pertaining to executive officers as detailed in such companies’ respective proxies, research analysts’ reports and other publicly available information. However, there are relatively few internally managed BDCs, and none that are directly comparable to the Company in regards to business strategies, assets under management, typical investment size and type and market capitalization. Moreover, regarding the compensation and retention of executive talent, the Company also competes with private equity funds, private credit funds, venture funds and other types of specialized investment funds. Since these funds are generally private companies that are not required to publicly disclose their executive compensation practices and policies, the Compensation Committee relies on third-party compensation surveys as well as other available information to compare compensation practices and policies.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Items taken into account from comparable companies and funds include, but are not necessarily limited to, base compensation, bonus compensation, stock option awards, restricted stock awards, carried interest and other compensation. In addition to actual levels of cash and equity related compensation, the Compensation Committee also considers other approaches comparable companies are taking with regard to overall executive compensation practices. Such items include, but are not necessarily limited to, the use of employment agreements for certain employees, the mix of cash and equity compensation, and certain corporate and executive performance measures that are established to achieve longer term total return for stockholders. Finally, in addition to analyzing comparable companies and funds, the Compensation Committee also evaluates the relative cost structure of the Company as compared to the entire BDC sector, including internally and externally managed BDCs, as well as other private funds.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Assessment of Company Performance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Compensation Committee believes that sustained financial performance, consistent stockholder returns and proportional employee compensation are essential components for the Company’s long-term business success. The Company typically makes multiple year investments in its portfolio companies. However, the Company’s business plan involves taking on investment risks over a range of time periods. Accordingly, much emphasis is focused on maintaining the stability of net asset values as well as the continuity of earnings to pass through to stockholders in the form of increased net asset value per share and dividends. The maintenance and growth of net asset value and overall operating performance of the Company are key metrics in the Compensation Committee’s assessment of financial performance.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5" w:name="page26"/>
    <w:bookmarkEnd w:id="25"/>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Company’s primary strategy is to maximize its investment portfolio’s total return, principally by realizing capital gains from equity and equity-related investments and generating current income from debt and equity-related investments. Such capital gains and current income are key drivers to stockholder returns and value. Achieving this strategy requires a methodical asset acquisition approach and active monitoring and management of our investment portfolio over time. A meaningful part of the Company’s employee base is dedicated to the maintenance of asset values, the generation of new investment opportunities and the expansion of capital gains and recurring income to sustain and grow our net asset value and dividends, and thus stockholder returns and value. The Compensation Committee believes that stability of the management team is critical to achieving successful implementation of the Company’s strategies. Further, in establishing and assessing executive salary and performance incentives, the Compensation Committee is more focused on the Company’s results as compared to its business objectives, rather than the performance of the Company relative to other comparable companies or industry metrics.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Advisory Vote on Executive Compensation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At our 2019 Annual Meeting of Stockholders, our stockholders voted, on an advisory basis, to conduct an advisory vote on executive compensation annually. In accordance with the results of this vote, our Board of Directors determined to implement an advisory vote on executive compensation annually (beginning with the 2020 Annual Meeting of Stockholders). The required advisory vote on the frequency of stockholder advisory votes on the compensation of executives is included as Proposal III in this Proxy Statement. The next required advisory vote on the frequency of stockholder advisory votes on the compensation of executives is scheduled to occur at the 2031 Annual Meeting of Stockholders.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our 2024 Annual Meeting of Stockholders, our stockholders approved the advisory vote on executive compensation for the 2024 fiscal year with approximately 86% of the votes cast voting for approval. However, only 6,818,982 votes were cast on such proposal and there were 8,926,226 Broker Non-Votes. We have reviewed and continue to review our executive compensation program such that it recognizes the business environment in which we operate, attracts and incentivizes qualified executives and other key employees, and is aligned with stockholder interests.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 Components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2024, the components of the Company’s direct compensation for NEOs included:</w:t>
      </w:r>
    </w:p>
    <w:p>
      <w:pPr>
        <w:spacing w:after="0" w:line="225" w:lineRule="exact"/>
        <w:rPr>
          <w:sz w:val="20"/>
          <w:szCs w:val="20"/>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cash bonuses and additional cash bonuses;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shares under the Amended Equity Incentive Plan;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benefits.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Compensation Committee designs each NEO’s direct compensation package to appropriately reward the NEO for his or her contribution to the Company. The judgment and experience of the Compensation Committee are weighed with individual and Company performance metrics and in consultation with the Compensation Committee’s independent third-party compensation consultant and the Company’s Chief Executive Officer (except with respect to himself) to determine the appropriate mix of compensation for each individual. The Compensation Committee does not target a specific level of compensation relative to market practice, and only uses such data as a reference point when establishing compensation levels for NEOs. Cash compensation consisting of base salary and discretionary bonuses tied to achievement of individual performance goals that are reviewed and approved by the Compensation Committee, as well as corporate objectives, are intended to motivate NEOs to remain with the Company and work to achieve expected business objectives. Stock-based compensation is awarded based on performance expectations approved by the Compensation Committee for each NEO. The blend of short-term and long- term compensation may be adjusted from time to time to balance the Compensation Committee’s views regarding the benefits of current cash compensation and appropriate retention incentives.</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additional information regarding the compensation of the NEOs for 2024, please refer to “Compensation of Executive Officers.”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Base salary is used to recognize the experience, skills, knowledge, and responsibilities required of the NEOs in their roles. The Compensation Committee’s goal in setting the base salary levels for the NEOs is to adequately compensate the NEOs for expected base levels of performance and provide for the adequate retention of the NEOs. In connection with establishing the base salary of each NEO, the Compensation Committee and management consider a number of factors, including the seniority and experience level of the individual, the functional role of the position, the level of the individual’s responsibility, the ability to replace the individual, the relative number of well-qualified candidates available, and the NEO’s employment agreement. In addition, the Compensation Committee considers the base salaries paid to comparably situated executive officers and other competitive market practices. This data is provided to the Compensation Committee by its independent compensation consultant.</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Salaries are reviewed on an annual basis, as well as at the time of promotion or any substantial change in responsibilities. The leading factors in determining increases in salary level are individual performance and competitive pressures.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amount of annual base salary paid to each NEO for 2024 is presented under the caption entitled “Compensation of Executive Officers —  Summary Compensation Table.” The Compensation Committee believes that the base salaries were competitive in the marketplace and appropriate for the Company’s NEOs as a key component of an overall compensation package.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Cash Bonuses and Additional Cash Bonuses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Annual cash bonuses are intended to reward individual performance during the year and can be highly variable from year to year. As described under “1940 Act Restrictions on Company Performance Based Compensation,” because we are a BDC, cash bonus awards for the NEOs are determined by the Compensation Committee on a discretionary basis, taking into account performance criteria, particularly corporate and individual performance goals and other measures established by the Compensation Committee with the Chief Executive Officer’s input (except with respect to his own performance criteria). Should actual performance exceed expected performance criteria, the Compensation Committee may adjust individual cash bonuses to take such superior performance into account. Likewise, should actual performance fall below expected performance criteria, the Compensation Committee may adjust individual cash bonuses to take such performance into account.</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 Amendment No. 1 to the Second Amended Employment Agreement (as such term is defined below), Mr. Klein is eligible to earn an annual cash bonus of up to one hundred percent (100%) of base salary. Under the Amendment No. 2 to the Second Amended Employment Agreement, Ms. Green is eligible to earn an annual cash bonus of up to one hundred and twenty five percent (125%) of base salary. Both executives are eligible for an additional cash bonus in excess of such annual cash bonus, provided that 100% of the net amount (as defined in the Second Amended Employment Agreements) of such additional cash bonus is used to purchase shares of the Company’s common stock in accordance with the Company’s policies and procedures and applicable law, as discussed under “Employment Agreements.” The Compensation Committee and the Board of Directors determined that the potential for, and use of, such additional cash bonus payments would better align the NEOs’ interests with those of the Company’s stockholders.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Compensation Committee considered a number of major outcomes as well as other factors when evaluating the cash bonuses paid to NEOs for 2024. The Compensation Committee also consulted with its independent compensation consultant and considered the NEOs’ employment agreements as amended. The net result of these considerations resulted in cash bonuses paid to the NEOs, including an annual cash bonus and an additional cash bonus. To further align the NEOs’ interests with those of stockholders, the Compensation Committee required and the NEOs agreed to not sell or otherwise dispose or transfer the shares of the Company’s common stock purchased with such additional cash bonuses for a period of (i) not less than one year for the first half of shares, and (ii) not less than two years for the remaining half of shares. In particular, cash bonuses paid to NEOs for 2024 performance included recognition of the following:</w:t>
      </w:r>
    </w:p>
    <w:p>
      <w:pPr>
        <w:spacing w:after="0" w:line="189" w:lineRule="exact"/>
        <w:rPr>
          <w:sz w:val="20"/>
          <w:szCs w:val="20"/>
          <w:color w:val="auto"/>
        </w:rPr>
      </w:pPr>
    </w:p>
    <w:p>
      <w:pPr>
        <w:ind w:left="98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achieved a total shareholder return of 49% in 2024, calculated from the closing share price on the last trading day of fiscal year 2023 to the closing price on the last trading day of fiscal year 2024;</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7" w:name="page28"/>
    <w:bookmarkEnd w:id="27"/>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executed a Convertible Note Purchase Agreement and repurchase of current debt;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executed a modified “Dutch Auction” tender offer, returning $9.4 million of capital to stockholders;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prudent investments within the portfolio, focusing on high-quality opportunities to ensure efficiency;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the overall investment process, enabling an increase in the number of potential investments reviewed;</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improved the diligence process, which has allowed the review of more potential deals than any other year and judicious investment at attractive prices;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efforts to reduce operating expenses, including the renegotiation of select contracts, resulting in a reduction in expenses compared to the prior year;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fostered the development and internal growth of the team, which remained fully staffed throughout the year.</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010302"/>
        </w:rPr>
        <w:t>The Compensation Committee did not weight these factors and used discretion in determining the cash bonus amount allocated to each executive for 2024. Overall, the Compensation Committee assessed both Company and individual performance.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Compensation Committee approved the following annual cash bonus and additional cash bonus payments to each NEO:</w:t>
      </w:r>
    </w:p>
    <w:p>
      <w:pPr>
        <w:spacing w:after="0" w:line="225" w:lineRule="exact"/>
        <w:rPr>
          <w:sz w:val="20"/>
          <w:szCs w:val="20"/>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10302"/>
        </w:rPr>
        <w:t>Mr. Klein: $850,000 annual cash bonus plus $850,000 additional bonus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10302"/>
        </w:rPr>
        <w:t>Ms. Green: $500,000 annual cash bonus plus $100,000 additional bonus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These amounts are also presented under the caption entitled “Compensation of Executive Officers — Summary Compensation Table.” The Compensation Committee has confirmed that 100% of the net amount from additional bonuses was used by each NEO to purchase shares of the Company’s common stock.</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Long-Term Incentive Awards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July 31, 2019, the Board of Directors approved and adopted the Amended Equity Incentive Plan, and on June 19, 2020, stockholders approved the Amended Equity Incentive Plan, which amended and restated and superseded the Company’s 2019 Equity Incentive Plan in its entirety to provide stock-based awards as long-term incentive compensation to employees, including the NEOs. The Company uses stock-based awards to (i) attract and retain key employees and officers, (ii) motivate employees and officers by means of performance-related incentives to achieve long-range performance goals,</w:t>
      </w:r>
    </w:p>
    <w:p>
      <w:pPr>
        <w:spacing w:after="0" w:line="3" w:lineRule="exact"/>
        <w:rPr>
          <w:sz w:val="20"/>
          <w:szCs w:val="20"/>
          <w:color w:val="auto"/>
        </w:rPr>
      </w:pPr>
    </w:p>
    <w:p>
      <w:pPr>
        <w:jc w:val="both"/>
        <w:ind w:firstLine="8"/>
        <w:spacing w:after="0" w:line="252" w:lineRule="auto"/>
        <w:tabs>
          <w:tab w:leader="none" w:pos="33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enable employees and officers to participate in the Company’s long-term growth, (iv) link employees’ compensation to the long-term interests of stockholders, (v) recognize individual contributions to corporate strategic priorities and to the long-term performance of the Company and (vi) provide competitive total direct compensation. The Compensation Committee has authority to select the persons to receive stock-based awards, and our Board of Directors may also grant awards and administer the Amended Equity Incentive Plan in its sole discretion. At the time of each award, the Compensation Committee will determine the terms of the award in its sole discretion, including any performance period (or periods) and any performance objectives relating to the award.</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Restricted Shares</w:t>
      </w:r>
      <w:r>
        <w:rPr>
          <w:rFonts w:ascii="Times New Roman" w:cs="Times New Roman" w:eastAsia="Times New Roman" w:hAnsi="Times New Roman"/>
          <w:sz w:val="18"/>
          <w:szCs w:val="18"/>
          <w:color w:val="auto"/>
        </w:rPr>
        <w:t>. The Company has received exemptive relief from the SEC that permits the Company to grant restricted shares in exchange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in recognition of services by its employees, officers and directors, including non-employee directors. Pursuant to the Amended Equity Incentive Plan, the Compensation Committee may award shares of restricted stock to plan participants in such amounts and on such terms as the Compensation Committee determines in its sole discretion, provided that such awards are consistent with the conditions set forth in the exemptive order. Each grant of restricted shares will be for a fixed number of shares as set forth in an award agreement between the grantee and the Company.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8" w:name="page29"/>
    <w:bookmarkEnd w:id="2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Award agreements will set forth time and/or performance vesting schedules and other appropriate terms and/or restrictions with respect to awards, including rights to dividends and voting rights. In 2021, the Compensation Committee began making annual grants of restricted shares to our NEOs, which generally vest in equal increments over a three-year time frame based on continued service during the vesting period.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Compensation Committee previously granted equity awards in February. In 2022, additional cash bonus payments were made in lieu of equity awards that would otherwise have been granted in February 2023. Considering that no equity grants were made in February 2023, the Compensation Committee made the decision to distribute the equity grants that would have been allocated in February 2024 during December 2023. Following this cadence, in 2024, the Compensation Committee determined to distribute equity grants during December of that year.</w:t>
      </w:r>
    </w:p>
    <w:p>
      <w:pPr>
        <w:spacing w:after="0" w:line="1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During 2024, our NEOs were granted the following restricted shares with the following values under the Amended Equity Incentive Plan:</w:t>
      </w:r>
    </w:p>
    <w:p>
      <w:pPr>
        <w:spacing w:after="0" w:line="225" w:lineRule="exact"/>
        <w:rPr>
          <w:sz w:val="20"/>
          <w:szCs w:val="20"/>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Klein: 100,000 restricted shares worth $614,000 awarded in December 2024</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Green: 25,000 restricted shares worth $153,500 awarded in December 2024</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Restricted shares are granted under the Amended Equity Incentive Plan to recognize individual contributions to corporate strategic priorities and to align such contributions with the long-term performance of the Company. Other objectives of restricted share grants are to assist with retention, align NEO interests with stockholder interests, and to provide competitive total direct compensation. These grants recognize contributions to the future success of the Company, including expanded roles of NEOs within the Company, recruitment and development of personnel, advancement of strategic initiatives with benefits beyond the current year, development of appropriate capital structure alternatives and enhancement of the Company’s reputation with key constituents.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number of restricted shares granted to each NEO in 2024 is presented under the caption entitled “Compensation of Executive Officers —  Grants of Plan-Based Awards.”</w:t>
      </w:r>
    </w:p>
    <w:p>
      <w:pPr>
        <w:spacing w:after="0" w:line="16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Options</w:t>
      </w:r>
      <w:r>
        <w:rPr>
          <w:rFonts w:ascii="Times New Roman" w:cs="Times New Roman" w:eastAsia="Times New Roman" w:hAnsi="Times New Roman"/>
          <w:sz w:val="18"/>
          <w:szCs w:val="18"/>
          <w:color w:val="auto"/>
        </w:rPr>
        <w:t>. The Compensation Committee may in its sole discretion grant options to purchase shares of our common stock (including incentive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options and non-qualified stock options) to the Company’s employees and officers, including employee directors. We expect that options granted by our Compensation Committee will represent a fixed number of shares of our common stock, will have an exercise, or strike, price equal to the fair market value of our common stock on the date of such grant, and will be exercisable, or “vested,” at some time at or after grant. The “fair market value” will be defined as the closing sales price of the common stock on the Nasdaq Global Select Market on the date of the grant. Some stock options granted by our Compensation Committee may vest simply by the holder remaining with us for a period of time, and some may vest based on our attaining certain performance levels. No options were granted in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Compensation Policies and Practices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that risks arising from our compensation policies and practices for our employees are not reasonably likely to have a material adverse effect on the Company. In addition, the Compensation Committee believes that the mix and design of the elements of executive compensation do not encourage management to assume excessive risks.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Compensation Committee has reviewed the elements of executive compensation to determine whether any portion of executive compensation encourages excessive risk taking and concluded:</w:t>
      </w:r>
    </w:p>
    <w:p>
      <w:pPr>
        <w:spacing w:after="0" w:line="162" w:lineRule="exact"/>
        <w:rPr>
          <w:sz w:val="20"/>
          <w:szCs w:val="20"/>
          <w:color w:val="auto"/>
        </w:rPr>
      </w:pPr>
    </w:p>
    <w:p>
      <w:pPr>
        <w:ind w:left="980" w:hanging="324"/>
        <w:spacing w:after="0" w:line="282"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is allocated among base salaries, cash bonuses and other compensation opportunities in such a way as to not encourage excessive risk-taking;</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incentive compensation discourages short-term risk taking;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9" w:name="page30"/>
    <w:bookmarkEnd w:id="29"/>
    <w:p>
      <w:pPr>
        <w:ind w:left="980" w:hanging="324"/>
        <w:spacing w:after="0" w:line="282"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goals are appropriately established across several key metrics and criteria in order to avoid an outcome where the failure to achieve any individual target would result in a large percentage loss of compensation;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are encouraged to buy the Company’s common stock and are eligible to receive equity-based compensation, with multi-year vesting of equity-based awards under the Amended Equity Incentive Plan accounting for the time horizon of risk.</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Finally, in addition to the factors described above, discretionary compensation decisions that are under the exclusive purview of the Compensation Committee include subjective considerations that restrain the influence of formulae or objective-driven determinations that might lead to excessive risk taking.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Benefits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NEOs generally participate in the same benefit plans and programs as the Company’s other employees, including comprehensive medical, dental and vision insurance, short term and long term disability insurance and life insurance.</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maintains a 401(k) plan for all full-time employees who are at least 21 years of age through which the Company makes non-discretionary matching contributions to each participant’s plan account on the participant’s behalf. For each participating employee, the Company’s contribution is a 50% match of the employee’s contributions up to a 6% contribution level, with a maximum annual regular matching contribution of $12,500 during 2024. All contributions to the plan, including those made by the Company, vest immediately. The Board of Directors may also, at its sole discretion, provide that the Company will make additional contributions to employee 401(k) plan accounts, which would also vest immediately. The Company provides no other material benefits, deferred compensation, perquisites or retirement benefits to the NEOs.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described below, the Company is a party to an employment agreement with each of Mark D. Klein, the Company’s Chairman, Chief Executive Officer and President, and Allison Green, the Company’s Chief Financial Officer, Chief Compliance Officer, Treasurer and Secretary.</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April 28, 2020, the Company entered into an amended and restated employment agreement with each of Mr. Klein and Ms. Green (each, an “Amended Employment Agreement and collectively, the “Amended Employment Agreements”), which amended and restated the initial employment agreements, dated April 23, 2019, with such persons (the “Initial Employment Agreements”) in their entirety and set forth such NEOs’ salaries, bonuses and benefits for 2020 until such Amended Employment Agreements were amended in April 2021 in accordance with their terms, as described below. The Amended Employment Agreements were identical in all material respects to the Initial Employment Agreements, except that the Amended Employment Agreements extended the terms of the Initial Employment Agreements by one year to December 31, 2023 and included a provision making Mr. Klein and Ms. Green eligible to receive additional bonus payments in excess of the annual bonus payments set forth in the Initial Employment Agreements, provided that they used 100% of the net amount (as defined in the Amended Employment Agreements) of such additional bonus payments to purchase shares of the Company’s common stock.</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April 26, 2021, the Company entered into a second amended and restated employment agreement with each of Mr. Klein and Ms. Green (each, as may be amended from time to time, a “Second Amended Employment Agreement” and collectively, the “Second Amended Employment Agreements”), which are identical in all material respects to the Amended Employment Agreements, except that the Second Amended Employment Agreements extended the terms of the Amended Employment Agreements by one year to December 31, 2024. The Second Amended Employments Agreements set forth such NEOs’ salaries, bonuses and benefits until such Second Amended Employment Agreements are amended or terminated.</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March 10, 2022, the Company executed Amendment No. 1 to the Second Amended Employment Agreement with Ms. Green, which adjusted the base salary and annual bonus terms of such agreement.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0" w:name="page31"/>
    <w:bookmarkEnd w:id="3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November 28, 2023, the Company executed Amendment No. 1 to the Second Amended Employment Agreement with Mr. Klein and Amendment No. 2 to the Second Amended Employment Agreement with Ms. Green, both of which extended the terms of the Second Amended Employment Agreements by two years to December 31, 2026. All references to the Second Amended Employment Agreement between the Company and each of Mr. Klein and Ms. Green contained in this Proxy Statement are inclusive of, and reflect the terms of, each of Amendment No. 1 and Amendment No. 2 to the Second Amended Employment Agreement by and between the Company and each of Mr. Klein and Ms. Green, respectively.</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Under the Amended Equity Incentive Plan, each of Mr. Klein and Ms. Green may receive awards of restricted shares and stock options pursuant to his or her employment agreement, as amended and restated.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Second Amended Employment Agreements, dated April 26, 2021, with Mark D. Klein and Allison Green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Second Amended Employment Agreements became effective as of April 26, 2021 and, as amended, have terms ending on December 31, 2026, unless sooner terminated or amended pursuant to their terms. The Second Amended Employment Agreements are subject to automatic renewal upon completion of the term unless the respective parties thereto elect to terminate such agreement at least thirty (30) days prior to the expiration of the then current term.</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Under the terms of the Second Amended Employment Agreements, as may be amended from time to time, Mr. Klein and Ms. Green are entitled to receive an annual base salary equal to eight hundred fifty thousand dollars ($850,000) and five hundred thousand dollars ($500,000), respectively (subject to annual review and increase by the Board of Directors at its sole discretion), and are eligible to earn annual bonus payments of up to one hundred percent (100%) and one hundred and twenty-five percent (125%), respectively, of his or her then-effective base salary. Such annual bonus payments, if any, shall be payable at the discretion of the Board of Directors if certain Company performance objectives, performance goals and other objectives, as mutually agreed upon by the Board of Directors and Mr. Klein and Ms. Green, as applicable, are achieved. In addition, Mr. Klein and Ms. Green are eligible to receive additional bonus payments in excess of such annual bonus payments, as determined by the Compensation Committee, provided that Mr. Klein and Ms. Green use one hundred percent (100%) of the net amount (as defined in the applicable Second Amended Employment Agreement) to purchase shares of the Company’s common stock in accordance with the Company’s policies and procedures and applicable law. The Compensation Committee and the Board of Directors determined that the potential for, and use of, such additional bonus payments would better align the NEOs’ interests with those of the Company’s stockholders.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 the terms of the Second Amended Employment Agreements, in the event of termination of such executive’s employment due to such executive’s death or disability (as defined in the applicable Second Amended Employment Agreement), such executive, or such executive’s legal representatives or named beneficiaries, will be entitled to receive (i) earned but unpaid base salary, (ii) any accrued but unpaid paid time off or vacation payable in accordance with applicable Company policy, (iii) any reimbursable business expenses incurred, but not yet reimbursed to such executive, and</w:t>
      </w:r>
    </w:p>
    <w:p>
      <w:pPr>
        <w:spacing w:after="0" w:line="3" w:lineRule="exact"/>
        <w:rPr>
          <w:sz w:val="20"/>
          <w:szCs w:val="20"/>
          <w:color w:val="auto"/>
        </w:rPr>
      </w:pPr>
    </w:p>
    <w:p>
      <w:pPr>
        <w:jc w:val="both"/>
        <w:ind w:firstLine="8"/>
        <w:spacing w:after="0" w:line="252" w:lineRule="auto"/>
        <w:tabs>
          <w:tab w:leader="none" w:pos="32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benefits earned through the date of such executive’s termination in accordance with the terms of the applicable benefit plans (collectively, the “Accrued Benefits”). The Company shall also pay such executive or such executive’s legal representatives or named beneficiaries, as applicable, (i) any unpaid annual bonus for the preceding fiscal year and (ii) a pro-rated portion of the annual bonus for the then-current fiscal year based on the number of days of the then-current fiscal year that such executive was employed by the Company. Additionally, notwithstanding the terms of the applicable equity incentive plan or award agreement, any unvested portion of any equity awards held by such executive shall immediately vest in full and become exercisable and free from forfeiture or repurchase, as applicable, as of the date of such executive’s termination.</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terms of the Second Amended Employment Agreements, in the event of the termination of such executive’s employment for cause (as defined in the applicable Second Amended Employment Agreement), the Company shall pay to such executive accrued benefits that had been earned but unpaid as of the date of the termination and such executive shall receive no further payments of any kind.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1" w:name="page32"/>
    <w:bookmarkEnd w:id="31"/>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Under the terms of the Second Amended Employment Agreements, in the event of the termination of such executive’s employment by the Company without cause or by such executive for good reason (as defined in the applicable Second Amended Employment Agreement), the Company shall pay to such executive all Accrued Benefits through the date of such termination, and the following severance benefits:</w:t>
      </w:r>
    </w:p>
    <w:p>
      <w:pPr>
        <w:spacing w:after="0" w:line="176" w:lineRule="exact"/>
        <w:rPr>
          <w:sz w:val="20"/>
          <w:szCs w:val="20"/>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such executive a lump sum amount of severance equal to the product of: (A) the multiplier, and (B) the sum of</w:t>
      </w:r>
    </w:p>
    <w:p>
      <w:pPr>
        <w:spacing w:after="0" w:line="27" w:lineRule="exact"/>
        <w:rPr>
          <w:rFonts w:ascii="Times New Roman" w:cs="Times New Roman" w:eastAsia="Times New Roman" w:hAnsi="Times New Roman"/>
          <w:sz w:val="18"/>
          <w:szCs w:val="18"/>
          <w:color w:val="auto"/>
        </w:rPr>
      </w:pPr>
    </w:p>
    <w:p>
      <w:pPr>
        <w:jc w:val="both"/>
        <w:ind w:left="9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such executive’s then-current base salary, plus (ii) the annual bonus earned by such executive for the preceding fiscal year. The multiplier shall equal two (2) for Mr. Klein and one (1) for Ms. Green; provided however, that the multiplier shall equal three (3) for Mr. Klein and two</w:t>
      </w:r>
    </w:p>
    <w:p>
      <w:pPr>
        <w:jc w:val="both"/>
        <w:ind w:left="9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for Ms. Green if (x) the termination occurs within the first anniversary of a change in control event (as defined in the applicable Second Amended Employment Agreement), (y) such executive did not vote in favor of such change in control, and (z) the Company’s net assets are greater than $100.0 million, as determined by the Board of Directors in good faith. If the termination occurred in 2024, the annual bonus for purposes of the severance calculation would equal the annualized rate of the annual bonus such executive earned for the 2023 fiscal year.</w:t>
      </w:r>
    </w:p>
    <w:p>
      <w:pPr>
        <w:spacing w:after="0" w:line="188"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terms of the applicable equity incentive plan or award agreement, any unvested portion of any equity awards held by such executive shall immediately vest in full and become exercisable and free from forfeiture or repurchase, as applicable, as of the date of such executive’s termination.</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54"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provide, at the Company’s cost, continuation health insurance coverage under COBRA during the twelve (12) months following the date of termination for Ms. Green and the eighteen (18) months following the date of termination for Mr. Klein (each, “COBRA Coverage Period”), provided that these payments for continuation coverage under COBRA shall cease prior to the end of the COBRA Coverage Period if such executive becomes eligible for other group health insurance coverage from a new employer, and provided further that such coverage provided during the COBRA Coverage Period shall be included in (and not in addition to) the continuation period under</w:t>
      </w:r>
    </w:p>
    <w:p>
      <w:pPr>
        <w:spacing w:after="0" w:line="3"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COBRA.</w:t>
      </w:r>
    </w:p>
    <w:p>
      <w:pPr>
        <w:spacing w:after="0" w:line="206" w:lineRule="exact"/>
        <w:rPr>
          <w:rFonts w:ascii="Times New Roman" w:cs="Times New Roman" w:eastAsia="Times New Roman" w:hAnsi="Times New Roman"/>
          <w:sz w:val="18"/>
          <w:szCs w:val="18"/>
          <w:color w:val="auto"/>
        </w:rPr>
      </w:pPr>
    </w:p>
    <w:p>
      <w:pPr>
        <w:jc w:val="both"/>
        <w:ind w:left="980" w:right="20" w:hanging="324"/>
        <w:spacing w:after="0" w:line="312" w:lineRule="auto"/>
        <w:tabs>
          <w:tab w:leader="none" w:pos="9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executive shall be eligible to receive any unpaid annual bonus for the preceding fiscal year, and a pro-rated portion of the annual bonus for the then current fiscal year based on the number of days of the then-current fiscal year that such executive was employed by the Company.</w:t>
      </w:r>
    </w:p>
    <w:p>
      <w:pPr>
        <w:spacing w:after="0" w:line="14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Payment of any amounts and benefits in addition to the base salary, including any severance benefit, shall be conditioned on such executive’s execution and non-revocation, where applicable, of a release of claims in favor of the Company. The severance amount, with the exception of the pro-rated bonus for the then-current fiscal year, shall be paid to such executive within thirty (30) days following the effective date of such release. The pro-rated bonus for the then-current fiscal year will be paid in accordance with the Company’s regular payment schedule for the annual bonus for that calendar year. The rationale behind providing a severance package in certain events is to attract talented executives who are assured that they will not be financially injured if they physically relocate and/or leave another job to join us but are forced out through no fault of their own, and to ensure that our business is operated and governed for our stockholders by a management team, and under the direction of a board of directors, who are not financially motivated to frustrate the execution of a change in control transaction.</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Each Second Amended Employment Agreement contains a provision for the protection of our confidential information, trade secrets, and intellectual property during such executive’s employment with the Company or its affiliates and following termination of such executive’s employment. Except as required by law, such executive will not, directly or indirectly, at any time, disclose to any third person or use in any way any non-public information or confidential information. Each Second Amended Employment Agreement also contains a mutual non-disparagement provision that provides that neither party to such Second Amended Employment Agreement will disparage the other, and an arbitration clause that mandates arbitration in the event of a dispute.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Control and Severance</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Amended Equity Incentive Plan. </w:t>
      </w:r>
      <w:r>
        <w:rPr>
          <w:rFonts w:ascii="Times New Roman" w:cs="Times New Roman" w:eastAsia="Times New Roman" w:hAnsi="Times New Roman"/>
          <w:sz w:val="18"/>
          <w:szCs w:val="18"/>
          <w:color w:val="auto"/>
        </w:rPr>
        <w:t>Except as otherwise provided in the NEO’s award agreement, in the event of a change in control (as defined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Amended Equity Incentive Plan), the Compensation Committee may provide for (i) the assumption of some or all of the outstanding equity awards, or for the grant of new equity awards in substitution therefor, by the acquiring or surviving entity, (ii) acceleration of the equity awards, (iii) the cancellation of any outstanding equity awards and cause to be paid to the NEO holding vested equity awards (including equity awards that would vest as result of a change in control) the fair value of such equity awards, if any, as determined by the Compensation Committee, or (iv) any other adjustments in such manner as it may deem equitable, in each case in accordance with the terms of the Amended Equity Incentive Plan.</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2" w:name="page33"/>
    <w:bookmarkEnd w:id="32"/>
    <w:p>
      <w:pPr>
        <w:ind w:left="660"/>
        <w:spacing w:after="0"/>
        <w:rPr>
          <w:sz w:val="20"/>
          <w:szCs w:val="20"/>
          <w:color w:val="auto"/>
        </w:rPr>
      </w:pPr>
      <w:r>
        <w:rPr>
          <w:rFonts w:ascii="Times New Roman" w:cs="Times New Roman" w:eastAsia="Times New Roman" w:hAnsi="Times New Roman"/>
          <w:sz w:val="18"/>
          <w:szCs w:val="18"/>
          <w:color w:val="auto"/>
        </w:rPr>
        <w:t>A “change in control” is defined in the Amended Equity Incentive Plan as:</w:t>
      </w:r>
    </w:p>
    <w:p>
      <w:pPr>
        <w:spacing w:after="0" w:line="225" w:lineRule="exact"/>
        <w:rPr>
          <w:sz w:val="20"/>
          <w:szCs w:val="20"/>
          <w:color w:val="auto"/>
        </w:rPr>
      </w:pPr>
    </w:p>
    <w:p>
      <w:pPr>
        <w:jc w:val="both"/>
        <w:ind w:left="1040" w:hanging="384"/>
        <w:spacing w:after="0" w:line="255"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(whether by purchase, merger, consolidation, combination or other similar transaction) by any person of beneficial ownership (within the meaning of Rule 13d-3 under the Exchange Act) of more than fifty percent (50%) (on a fully diluted basis) of either (A) the then-outstanding shares of our common stock, taking into account as outstanding for this purpose such common stock issuable upon the exercise of options or warrants, the conversion of convertible stock or debt, and the exercise of any similar right to acquire such common stock, or</w:t>
      </w:r>
    </w:p>
    <w:p>
      <w:pPr>
        <w:spacing w:after="0" w:line="2" w:lineRule="exact"/>
        <w:rPr>
          <w:rFonts w:ascii="Times New Roman" w:cs="Times New Roman" w:eastAsia="Times New Roman" w:hAnsi="Times New Roman"/>
          <w:sz w:val="18"/>
          <w:szCs w:val="18"/>
          <w:color w:val="auto"/>
        </w:rPr>
      </w:pPr>
    </w:p>
    <w:p>
      <w:pPr>
        <w:jc w:val="both"/>
        <w:ind w:left="1040" w:hanging="6"/>
        <w:spacing w:after="0" w:line="252" w:lineRule="auto"/>
        <w:tabs>
          <w:tab w:leader="none" w:pos="13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voting power of the then-outstanding voting securities of the Company entitled to vote generally in the election of directors; provided, however, that for purposes of the Amended Equity Incentive Plan, the following acquisitions shall not constitute a change in control: (I) any acquisition by the Company or any affiliate; (II) any acquisition by any employee benefit plan sponsored or maintained by the Company or any affiliate; or (III) in respect of a Plan Award held by a particular participant, any acquisition by the participant or any group of persons including the participant (or any entity controlled by the participant or any group of persons including the participant);</w:t>
      </w:r>
    </w:p>
    <w:p>
      <w:pPr>
        <w:spacing w:after="0" w:line="189" w:lineRule="exact"/>
        <w:rPr>
          <w:rFonts w:ascii="Times New Roman" w:cs="Times New Roman" w:eastAsia="Times New Roman" w:hAnsi="Times New Roman"/>
          <w:sz w:val="18"/>
          <w:szCs w:val="18"/>
          <w:color w:val="auto"/>
        </w:rPr>
      </w:pPr>
    </w:p>
    <w:p>
      <w:pPr>
        <w:jc w:val="both"/>
        <w:ind w:left="1040" w:hanging="384"/>
        <w:spacing w:after="0" w:line="254"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period of twenty-four (24) months, individuals who, at the beginning of such period, constitute the Board of Directors (the “Incumbent Directors”), cease for any reason to constitute at least a majority of the Board of Directors provided that any person becoming a director subsequent to the date hereof, whose election or nomination for election was approved by a vote of at least two-thirds (2/3rds) of the Incumbent Directors then on the Board of Directors (either by a specific vote or by approval of the proxy statement of the Company in which such person is named as a nominee for director, without written objection to such nomination) shall be an Incumbent Director; provided, however, that no individual initially elected or nominated as a director of the Company, as a result of an actual or threatened election contest, as such terms are used in Rule 14a-12 of Regulation 14A promulgated under the Exchange Act, with respect to directors or as a result of any other actual or threatened solicitation of proxies or consents by or on behalf of any person other than the Board of Directors shall be deemed to be an Incumbent Director;</w:t>
      </w:r>
    </w:p>
    <w:p>
      <w:pPr>
        <w:spacing w:after="0" w:line="188" w:lineRule="exact"/>
        <w:rPr>
          <w:rFonts w:ascii="Times New Roman" w:cs="Times New Roman" w:eastAsia="Times New Roman" w:hAnsi="Times New Roman"/>
          <w:sz w:val="18"/>
          <w:szCs w:val="18"/>
          <w:color w:val="auto"/>
        </w:rPr>
      </w:pPr>
    </w:p>
    <w:p>
      <w:pPr>
        <w:ind w:left="1040" w:hanging="384"/>
        <w:spacing w:after="0" w:line="282"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transfer or other disposition of all or substantially all of the assets of the Company to any person that is not an affiliate of the Company; or</w:t>
      </w:r>
    </w:p>
    <w:p>
      <w:pPr>
        <w:spacing w:after="0" w:line="161" w:lineRule="exact"/>
        <w:rPr>
          <w:rFonts w:ascii="Times New Roman" w:cs="Times New Roman" w:eastAsia="Times New Roman" w:hAnsi="Times New Roman"/>
          <w:sz w:val="18"/>
          <w:szCs w:val="18"/>
          <w:color w:val="auto"/>
        </w:rPr>
      </w:pPr>
    </w:p>
    <w:p>
      <w:pPr>
        <w:ind w:left="1040" w:hanging="384"/>
        <w:spacing w:after="0" w:line="282"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management structure of the Company from an internally managed BDC to an externally managed BDC pursuant to which the Company enters into an investment advisory agreement with a third-party adviser.</w:t>
      </w:r>
    </w:p>
    <w:p>
      <w:pPr>
        <w:spacing w:after="0" w:line="16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Severance. </w:t>
      </w:r>
      <w:r>
        <w:rPr>
          <w:rFonts w:ascii="Times New Roman" w:cs="Times New Roman" w:eastAsia="Times New Roman" w:hAnsi="Times New Roman"/>
          <w:sz w:val="18"/>
          <w:szCs w:val="18"/>
          <w:color w:val="auto"/>
        </w:rPr>
        <w:t>Under specified covered transactions involving a change in control (as defined in the NEO’s Second Amended Employment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an NEO may be entitled to receive certain severance payments and benefits as discussed above under “Employment Agreements.” In addition, under the Second Amended Employment Agreements, if an NEO’s employment is terminated as a result of death or disability, or without cause or for good reason (as defined in the NEO’s Second Amended Employment Agreement), any unvested portion of any equity awards held by the NEO will immediately vest in full and become exercisable and free from forfeiture or repurchase, as applicable, as of the effective date of any such event of employment termination. If the NEO’s employment is terminated for any other reason, including for cause (as defined in the NEO’s Second Amended Employment Agreement), any unvested portion of any equity awards held by the NEO will be forfeited immediately as of the effective of date of any such event of employment termination. See “Employment Agreements” and “Potential Payments Upon Change in Control or Termination of Employment” for additional information.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1940 Act Restrictions on Company Performance Based Compensation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1940 Act provides that a BDC such as the Company may maintain either an equity incentive plan or a “profit-sharing plan,” but not both, for its NEOs and other employees. The Compensation Committee believes that equity incentives closely align the interests of NEOs and employees with those of the Company’s stockholders. Accordingly, the Company has adopted and maintained an equity incentive plan for its NEOs and employees since 2019. As a result, the 1940 Act prohibits the Company from having a “profit-sharing plan.”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term “profit-sharing plan” is very broadly defined in the 1940 Act, but in this context is generally viewed as referring to incentive and other compensation being directly tied to a company’s gross or net income or any other indicia of the company’s overall financial performance, such as realized gains or losses and unrealized appreciation or depreciation on investments. In this regard, the SEC has indicated that a compensation program possesses profit-sharing characteristics if a company is obligated to make payments under the program based on company performance metrics.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Due to these restrictions imposed by the 1940 Act, the Compensation Committee is not permitted to use nondiscretionary or formulaic Company performance goals or criteria to determine executive incentive compensation. Instead, the Compensation Committee considers overall Company performance along with other factors, including individual performance criteria, and uses its discretion in determining the appropriate compensation for the Company’s NEOs and other key employees. The Compensation Committee’s objective is to work within the 1940 Act regulatory framework to establish appropriate compensation levels, maintain pay-for-performance alignment and implement compensation best practices.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Deductibility of Compensation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162(m) of the Internal Revenue Code of 1986, as amended (the “Code”), generally disallows a tax deduction to public companies to the extent compensation paid to any “covered employee” exceeds $1.0 million in a given year. To the extent any of our “covered employees” receives compensation in excess of $1.0 million for any year, the Company generally cannot deduct such excess compensation for U.S. federal income tax purposes. For purposes of Section 162(m), a “covered employee” includes our CEO and our CFO and each of our other NEOs; in addition, once a person is determined to be a covered employee, such person continues to be a covered employee regardless of whether such person remains an NEO.</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While the Compensation Committee considers the deductibility of compensation as one factor in determining executive compensation, the Compensation Committee also considers other factors in making compensation decisions as noted herein and retains the flexibility to authorize amounts and forms of compensation that it determines to be consistent with the goals of our executive compensation program even if such compensation is not deductible by the Company for tax purposes.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that our compensation policies and objectives are designed to fairly compensate, retain and motivate our NEOs and to ultimately reward them for outstanding performance. The retention and motivation of our NEOs should enable us to grow strategically and position ourselves competitively in the market in which we operate.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reviewed and discussed the Compensation Discussion and Analysis included in this Proxy Statement with the Company’s management and, based on our review and discussions, we recommended to the Board of Directors of the Company that the Compensation Discussion and Analysis be included in this Proxy Statement.</w:t>
      </w:r>
    </w:p>
    <w:p>
      <w:pPr>
        <w:spacing w:after="0" w:line="17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Respectfully Submitted,</w:t>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The Compensation Committee</w:t>
      </w:r>
    </w:p>
    <w:p>
      <w:pPr>
        <w:spacing w:after="0" w:line="25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Lisa Westley, </w:t>
      </w:r>
      <w:r>
        <w:rPr>
          <w:rFonts w:ascii="Times New Roman" w:cs="Times New Roman" w:eastAsia="Times New Roman" w:hAnsi="Times New Roman"/>
          <w:sz w:val="18"/>
          <w:szCs w:val="18"/>
          <w:i w:val="1"/>
          <w:iCs w:val="1"/>
          <w:color w:val="auto"/>
        </w:rPr>
        <w:t>Chair</w:t>
      </w:r>
    </w:p>
    <w:p>
      <w:pPr>
        <w:spacing w:after="0" w:line="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Ronald M. Lott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Marc Mazur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Leonard A. Potter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OF EXECUTIVE OFFICERS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compensation of the NEOs for the fiscal years ended December 31, 2024, 2023, and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3"/>
        </w:trPr>
        <w:tc>
          <w:tcPr>
            <w:tcW w:w="3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5"/>
        </w:trPr>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20" w:type="dxa"/>
            <w:vAlign w:val="bottom"/>
          </w:tcPr>
          <w:p>
            <w:pPr>
              <w:spacing w:after="0"/>
              <w:rPr>
                <w:sz w:val="23"/>
                <w:szCs w:val="23"/>
                <w:color w:val="auto"/>
              </w:rPr>
            </w:pPr>
          </w:p>
        </w:tc>
        <w:tc>
          <w:tcPr>
            <w:tcW w:w="7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20" w:type="dxa"/>
            <w:vAlign w:val="bottom"/>
          </w:tcPr>
          <w:p>
            <w:pPr>
              <w:spacing w:after="0"/>
              <w:rPr>
                <w:sz w:val="23"/>
                <w:szCs w:val="23"/>
                <w:color w:val="auto"/>
              </w:rPr>
            </w:pPr>
          </w:p>
        </w:tc>
        <w:tc>
          <w:tcPr>
            <w:tcW w:w="1040" w:type="dxa"/>
            <w:vAlign w:val="bottom"/>
            <w:gridSpan w:val="2"/>
          </w:tcPr>
          <w:p>
            <w:pPr>
              <w:ind w:left="20"/>
              <w:spacing w:after="0" w:line="276" w:lineRule="exact"/>
              <w:rPr>
                <w:sz w:val="20"/>
                <w:szCs w:val="20"/>
                <w:color w:val="auto"/>
              </w:rPr>
            </w:pPr>
            <w:r>
              <w:rPr>
                <w:rFonts w:ascii="Times New Roman" w:cs="Times New Roman" w:eastAsia="Times New Roman" w:hAnsi="Times New Roman"/>
                <w:sz w:val="18"/>
                <w:szCs w:val="18"/>
                <w:b w:val="1"/>
                <w:bCs w:val="1"/>
                <w:color w:val="auto"/>
              </w:rPr>
              <w:t>Salary</w:t>
            </w:r>
            <w:r>
              <w:rPr>
                <w:rFonts w:ascii="Times New Roman" w:cs="Times New Roman" w:eastAsia="Times New Roman" w:hAnsi="Times New Roman"/>
                <w:sz w:val="29"/>
                <w:szCs w:val="29"/>
                <w:b w:val="1"/>
                <w:bCs w:val="1"/>
                <w:color w:val="auto"/>
                <w:vertAlign w:val="superscript"/>
              </w:rPr>
              <w:t>(1)</w:t>
            </w:r>
          </w:p>
        </w:tc>
        <w:tc>
          <w:tcPr>
            <w:tcW w:w="140" w:type="dxa"/>
            <w:vAlign w:val="bottom"/>
          </w:tcPr>
          <w:p>
            <w:pPr>
              <w:spacing w:after="0"/>
              <w:rPr>
                <w:sz w:val="23"/>
                <w:szCs w:val="23"/>
                <w:color w:val="auto"/>
              </w:rPr>
            </w:pPr>
          </w:p>
        </w:tc>
        <w:tc>
          <w:tcPr>
            <w:tcW w:w="1120" w:type="dxa"/>
            <w:vAlign w:val="bottom"/>
            <w:gridSpan w:val="2"/>
          </w:tcPr>
          <w:p>
            <w:pPr>
              <w:ind w:left="60"/>
              <w:spacing w:after="0" w:line="276" w:lineRule="exact"/>
              <w:rPr>
                <w:sz w:val="20"/>
                <w:szCs w:val="20"/>
                <w:color w:val="auto"/>
              </w:rPr>
            </w:pPr>
            <w:r>
              <w:rPr>
                <w:rFonts w:ascii="Times New Roman" w:cs="Times New Roman" w:eastAsia="Times New Roman" w:hAnsi="Times New Roman"/>
                <w:sz w:val="18"/>
                <w:szCs w:val="18"/>
                <w:b w:val="1"/>
                <w:bCs w:val="1"/>
                <w:color w:val="auto"/>
              </w:rPr>
              <w:t>Bonus</w:t>
            </w:r>
            <w:r>
              <w:rPr>
                <w:rFonts w:ascii="Times New Roman" w:cs="Times New Roman" w:eastAsia="Times New Roman" w:hAnsi="Times New Roman"/>
                <w:sz w:val="29"/>
                <w:szCs w:val="29"/>
                <w:b w:val="1"/>
                <w:bCs w:val="1"/>
                <w:color w:val="auto"/>
                <w:vertAlign w:val="superscript"/>
              </w:rPr>
              <w:t>(2)</w:t>
            </w:r>
          </w:p>
        </w:tc>
        <w:tc>
          <w:tcPr>
            <w:tcW w:w="160" w:type="dxa"/>
            <w:vAlign w:val="bottom"/>
          </w:tcPr>
          <w:p>
            <w:pPr>
              <w:spacing w:after="0"/>
              <w:rPr>
                <w:sz w:val="23"/>
                <w:szCs w:val="23"/>
                <w:color w:val="auto"/>
              </w:rPr>
            </w:pPr>
          </w:p>
        </w:tc>
        <w:tc>
          <w:tcPr>
            <w:tcW w:w="1160" w:type="dxa"/>
            <w:vAlign w:val="bottom"/>
            <w:gridSpan w:val="2"/>
          </w:tcPr>
          <w:p>
            <w:pPr>
              <w:jc w:val="right"/>
              <w:ind w:right="340"/>
              <w:spacing w:after="0" w:line="276" w:lineRule="exact"/>
              <w:rPr>
                <w:sz w:val="20"/>
                <w:szCs w:val="20"/>
                <w:color w:val="auto"/>
              </w:rPr>
            </w:pPr>
            <w:r>
              <w:rPr>
                <w:rFonts w:ascii="Times New Roman" w:cs="Times New Roman" w:eastAsia="Times New Roman" w:hAnsi="Times New Roman"/>
                <w:sz w:val="18"/>
                <w:szCs w:val="18"/>
                <w:b w:val="1"/>
                <w:bCs w:val="1"/>
                <w:color w:val="auto"/>
                <w:w w:val="96"/>
              </w:rPr>
              <w:t>Awards</w:t>
            </w:r>
            <w:r>
              <w:rPr>
                <w:rFonts w:ascii="Times New Roman" w:cs="Times New Roman" w:eastAsia="Times New Roman" w:hAnsi="Times New Roman"/>
                <w:sz w:val="29"/>
                <w:szCs w:val="29"/>
                <w:b w:val="1"/>
                <w:bCs w:val="1"/>
                <w:color w:val="auto"/>
                <w:w w:val="96"/>
                <w:vertAlign w:val="superscript"/>
              </w:rPr>
              <w:t>(3)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60" w:type="dxa"/>
            <w:vAlign w:val="bottom"/>
            <w:gridSpan w:val="2"/>
          </w:tcPr>
          <w:p>
            <w:pPr>
              <w:jc w:val="right"/>
              <w:ind w:right="340"/>
              <w:spacing w:after="0" w:line="276" w:lineRule="exact"/>
              <w:rPr>
                <w:sz w:val="20"/>
                <w:szCs w:val="20"/>
                <w:color w:val="auto"/>
              </w:rPr>
            </w:pPr>
            <w:r>
              <w:rPr>
                <w:rFonts w:ascii="Times New Roman" w:cs="Times New Roman" w:eastAsia="Times New Roman" w:hAnsi="Times New Roman"/>
                <w:sz w:val="18"/>
                <w:szCs w:val="18"/>
                <w:b w:val="1"/>
                <w:bCs w:val="1"/>
                <w:color w:val="auto"/>
                <w:w w:val="97"/>
              </w:rPr>
              <w:t>Compensation</w:t>
            </w:r>
            <w:r>
              <w:rPr>
                <w:rFonts w:ascii="Times New Roman" w:cs="Times New Roman" w:eastAsia="Times New Roman" w:hAnsi="Times New Roman"/>
                <w:sz w:val="29"/>
                <w:szCs w:val="29"/>
                <w:b w:val="1"/>
                <w:bCs w:val="1"/>
                <w:color w:val="auto"/>
                <w:w w:val="97"/>
                <w:vertAlign w:val="superscript"/>
              </w:rPr>
              <w:t>(4)</w:t>
            </w:r>
          </w:p>
        </w:tc>
        <w:tc>
          <w:tcPr>
            <w:tcW w:w="220" w:type="dxa"/>
            <w:vAlign w:val="bottom"/>
          </w:tcPr>
          <w:p>
            <w:pPr>
              <w:spacing w:after="0"/>
              <w:rPr>
                <w:sz w:val="23"/>
                <w:szCs w:val="23"/>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3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D. Klein</w:t>
            </w: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5"/>
              </w:rPr>
              <w:t>850,000</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1,700,000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614,000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3,164,407</w:t>
            </w:r>
          </w:p>
        </w:tc>
        <w:tc>
          <w:tcPr>
            <w:tcW w:w="100" w:type="dxa"/>
            <w:vAlign w:val="bottom"/>
            <w:tcBorders>
              <w:top w:val="single" w:sz="8" w:color="CCEEFF"/>
            </w:tcBorders>
            <w:shd w:val="clear" w:color="auto" w:fill="CCEEFF"/>
          </w:tcPr>
          <w:p>
            <w:pPr>
              <w:spacing w:after="0"/>
              <w:rPr>
                <w:sz w:val="18"/>
                <w:szCs w:val="18"/>
                <w:color w:val="auto"/>
              </w:rPr>
            </w:pPr>
          </w:p>
        </w:tc>
      </w:tr>
      <w:tr>
        <w:trPr>
          <w:trHeight w:val="196"/>
        </w:trPr>
        <w:tc>
          <w:tcPr>
            <w:tcW w:w="3500" w:type="dxa"/>
            <w:vAlign w:val="bottom"/>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i w:val="1"/>
                <w:iCs w:val="1"/>
                <w:color w:val="auto"/>
              </w:rPr>
              <w:t>Chairman and Member of the Board of</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Directors, Chief Executive Officer, and</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President</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850,000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1,700,000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426,000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409</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2,976,409</w:t>
            </w:r>
          </w:p>
        </w:tc>
      </w:tr>
      <w:tr>
        <w:trPr>
          <w:trHeight w:val="216"/>
        </w:trPr>
        <w:tc>
          <w:tcPr>
            <w:tcW w:w="3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850,000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1,150,000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2,300,000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53,439</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4,353,439</w:t>
            </w:r>
          </w:p>
        </w:tc>
      </w:tr>
      <w:tr>
        <w:trPr>
          <w:trHeight w:val="196"/>
        </w:trPr>
        <w:tc>
          <w:tcPr>
            <w:tcW w:w="35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Allison Green</w:t>
            </w:r>
          </w:p>
        </w:tc>
        <w:tc>
          <w:tcPr>
            <w:tcW w:w="120" w:type="dxa"/>
            <w:vAlign w:val="bottom"/>
          </w:tcPr>
          <w:p>
            <w:pPr>
              <w:spacing w:after="0"/>
              <w:rPr>
                <w:sz w:val="17"/>
                <w:szCs w:val="17"/>
                <w:color w:val="auto"/>
              </w:rPr>
            </w:pPr>
          </w:p>
        </w:tc>
        <w:tc>
          <w:tcPr>
            <w:tcW w:w="660" w:type="dxa"/>
            <w:vAlign w:val="bottom"/>
          </w:tcPr>
          <w:p>
            <w:pPr>
              <w:ind w:left="160"/>
              <w:spacing w:after="0" w:line="195" w:lineRule="exact"/>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7"/>
                <w:szCs w:val="17"/>
                <w:color w:val="auto"/>
              </w:rPr>
            </w:pPr>
          </w:p>
        </w:tc>
        <w:tc>
          <w:tcPr>
            <w:tcW w:w="1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ind w:left="220"/>
              <w:spacing w:after="0" w:line="195" w:lineRule="exact"/>
              <w:rPr>
                <w:sz w:val="20"/>
                <w:szCs w:val="20"/>
                <w:color w:val="auto"/>
              </w:rPr>
            </w:pPr>
            <w:r>
              <w:rPr>
                <w:rFonts w:ascii="Times New Roman" w:cs="Times New Roman" w:eastAsia="Times New Roman" w:hAnsi="Times New Roman"/>
                <w:sz w:val="18"/>
                <w:szCs w:val="18"/>
                <w:color w:val="auto"/>
              </w:rPr>
              <w:t>500,000</w:t>
            </w:r>
          </w:p>
        </w:tc>
        <w:tc>
          <w:tcPr>
            <w:tcW w:w="14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600,000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00"/>
              <w:spacing w:after="0" w:line="195" w:lineRule="exact"/>
              <w:rPr>
                <w:sz w:val="20"/>
                <w:szCs w:val="20"/>
                <w:color w:val="auto"/>
              </w:rPr>
            </w:pPr>
            <w:r>
              <w:rPr>
                <w:rFonts w:ascii="Times New Roman" w:cs="Times New Roman" w:eastAsia="Times New Roman" w:hAnsi="Times New Roman"/>
                <w:sz w:val="18"/>
                <w:szCs w:val="18"/>
                <w:color w:val="auto"/>
              </w:rPr>
              <w:t>153,500</w:t>
            </w:r>
          </w:p>
        </w:tc>
        <w:tc>
          <w:tcPr>
            <w:tcW w:w="22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33,598</w:t>
            </w:r>
          </w:p>
        </w:tc>
        <w:tc>
          <w:tcPr>
            <w:tcW w:w="220" w:type="dxa"/>
            <w:vAlign w:val="bottom"/>
          </w:tcPr>
          <w:p>
            <w:pPr>
              <w:jc w:val="right"/>
              <w:ind w:right="30"/>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line="195" w:lineRule="exact"/>
              <w:rPr>
                <w:sz w:val="20"/>
                <w:szCs w:val="20"/>
                <w:color w:val="auto"/>
              </w:rPr>
            </w:pPr>
            <w:r>
              <w:rPr>
                <w:rFonts w:ascii="Times New Roman" w:cs="Times New Roman" w:eastAsia="Times New Roman" w:hAnsi="Times New Roman"/>
                <w:sz w:val="18"/>
                <w:szCs w:val="18"/>
                <w:color w:val="auto"/>
              </w:rPr>
              <w:t>1,287,098</w:t>
            </w:r>
          </w:p>
        </w:tc>
      </w:tr>
      <w:tr>
        <w:trPr>
          <w:trHeight w:val="216"/>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Chief Financial Officer, Chief Compliance</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8"/>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Officer, Treasurer, and Corporate Secretary</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500,000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600,000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106,500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25,974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1,232,474</w:t>
            </w:r>
          </w:p>
        </w:tc>
      </w:tr>
      <w:tr>
        <w:trPr>
          <w:trHeight w:val="234"/>
        </w:trPr>
        <w:tc>
          <w:tcPr>
            <w:tcW w:w="3500" w:type="dxa"/>
            <w:vAlign w:val="bottom"/>
          </w:tcPr>
          <w:p>
            <w:pPr>
              <w:spacing w:after="0"/>
              <w:rPr>
                <w:sz w:val="20"/>
                <w:szCs w:val="20"/>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490,340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415,000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585,000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27,739</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1,518,079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13" w:lineRule="exact"/>
        <w:rPr>
          <w:sz w:val="20"/>
          <w:szCs w:val="20"/>
          <w:color w:val="auto"/>
        </w:rPr>
      </w:pPr>
    </w:p>
    <w:p>
      <w:pPr>
        <w:ind w:left="340" w:hanging="332"/>
        <w:spacing w:after="0" w:line="282"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salaries of Mr. Klein and Ms. Green were paid pursuant to the applicable Second Amended Employment Agreement of such individuals with the Company.</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annual and additional cash bonuses based on individual and corporate performance, as determined by the Compensation Committee in accordance with the NEO’s Second Amended Employment Agreements,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Bonus for</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Annual Cash</w:t>
            </w:r>
          </w:p>
        </w:tc>
        <w:tc>
          <w:tcPr>
            <w:tcW w:w="16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960" w:type="dxa"/>
            <w:vAlign w:val="bottom"/>
          </w:tcPr>
          <w:p>
            <w:pPr>
              <w:ind w:left="22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0"/>
                <w:szCs w:val="20"/>
                <w:color w:val="auto"/>
              </w:rPr>
            </w:pPr>
          </w:p>
        </w:tc>
        <w:tc>
          <w:tcPr>
            <w:tcW w:w="136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Bonus</w:t>
            </w:r>
          </w:p>
        </w:tc>
        <w:tc>
          <w:tcPr>
            <w:tcW w:w="160" w:type="dxa"/>
            <w:vAlign w:val="bottom"/>
          </w:tcPr>
          <w:p>
            <w:pPr>
              <w:spacing w:after="0"/>
              <w:rPr>
                <w:sz w:val="20"/>
                <w:szCs w:val="20"/>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Purchase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Total Bonus</w:t>
            </w:r>
          </w:p>
        </w:tc>
      </w:tr>
      <w:tr>
        <w:trPr>
          <w:trHeight w:val="210"/>
        </w:trPr>
        <w:tc>
          <w:tcPr>
            <w:tcW w:w="4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D. Klein</w:t>
            </w:r>
          </w:p>
        </w:tc>
        <w:tc>
          <w:tcPr>
            <w:tcW w:w="1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850,000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850,000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1,700,000</w:t>
            </w:r>
          </w:p>
        </w:tc>
      </w:tr>
      <w:tr>
        <w:trPr>
          <w:trHeight w:val="216"/>
        </w:trPr>
        <w:tc>
          <w:tcPr>
            <w:tcW w:w="4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550,000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600,000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1,150,000</w:t>
            </w:r>
          </w:p>
        </w:tc>
      </w:tr>
      <w:tr>
        <w:trPr>
          <w:trHeight w:val="198"/>
        </w:trPr>
        <w:tc>
          <w:tcPr>
            <w:tcW w:w="49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Allison Green</w:t>
            </w:r>
          </w:p>
        </w:tc>
        <w:tc>
          <w:tcPr>
            <w:tcW w:w="120" w:type="dxa"/>
            <w:vAlign w:val="bottom"/>
          </w:tcPr>
          <w:p>
            <w:pPr>
              <w:spacing w:after="0"/>
              <w:rPr>
                <w:sz w:val="17"/>
                <w:szCs w:val="17"/>
                <w:color w:val="auto"/>
              </w:rPr>
            </w:pPr>
          </w:p>
        </w:tc>
        <w:tc>
          <w:tcPr>
            <w:tcW w:w="1360" w:type="dxa"/>
            <w:vAlign w:val="bottom"/>
          </w:tcPr>
          <w:p>
            <w:pPr>
              <w:ind w:left="500"/>
              <w:spacing w:after="0" w:line="198" w:lineRule="exact"/>
              <w:rPr>
                <w:sz w:val="20"/>
                <w:szCs w:val="20"/>
                <w:color w:val="auto"/>
              </w:rPr>
            </w:pPr>
            <w:r>
              <w:rPr>
                <w:rFonts w:ascii="Times New Roman" w:cs="Times New Roman" w:eastAsia="Times New Roman" w:hAnsi="Times New Roman"/>
                <w:sz w:val="18"/>
                <w:szCs w:val="18"/>
                <w:color w:val="auto"/>
              </w:rPr>
              <w:t>2024</w:t>
            </w:r>
          </w:p>
        </w:tc>
        <w:tc>
          <w:tcPr>
            <w:tcW w:w="26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500,000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100,000</w:t>
            </w:r>
          </w:p>
        </w:tc>
        <w:tc>
          <w:tcPr>
            <w:tcW w:w="28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600,000</w:t>
            </w:r>
          </w:p>
        </w:tc>
      </w:tr>
      <w:tr>
        <w:trPr>
          <w:trHeight w:val="216"/>
        </w:trPr>
        <w:tc>
          <w:tcPr>
            <w:tcW w:w="4960" w:type="dxa"/>
            <w:vAlign w:val="bottom"/>
          </w:tcPr>
          <w:p>
            <w:pPr>
              <w:spacing w:after="0"/>
              <w:rPr>
                <w:sz w:val="18"/>
                <w:szCs w:val="18"/>
                <w:color w:val="auto"/>
              </w:rPr>
            </w:pPr>
          </w:p>
        </w:tc>
        <w:tc>
          <w:tcPr>
            <w:tcW w:w="14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500,000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600,000</w:t>
            </w:r>
          </w:p>
        </w:tc>
      </w:tr>
      <w:tr>
        <w:trPr>
          <w:trHeight w:val="234"/>
        </w:trPr>
        <w:tc>
          <w:tcPr>
            <w:tcW w:w="4960" w:type="dxa"/>
            <w:vAlign w:val="bottom"/>
          </w:tcPr>
          <w:p>
            <w:pPr>
              <w:spacing w:after="0"/>
              <w:rPr>
                <w:sz w:val="20"/>
                <w:szCs w:val="20"/>
                <w:color w:val="auto"/>
              </w:rPr>
            </w:pPr>
          </w:p>
        </w:tc>
        <w:tc>
          <w:tcPr>
            <w:tcW w:w="14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315,000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415,000</w:t>
            </w:r>
          </w:p>
        </w:tc>
      </w:tr>
    </w:tbl>
    <w:p>
      <w:pPr>
        <w:spacing w:after="0" w:line="198" w:lineRule="exact"/>
        <w:rPr>
          <w:sz w:val="20"/>
          <w:szCs w:val="20"/>
          <w:color w:val="auto"/>
        </w:rPr>
      </w:pPr>
    </w:p>
    <w:p>
      <w:pPr>
        <w:jc w:val="both"/>
        <w:ind w:left="340"/>
        <w:spacing w:after="0" w:line="272" w:lineRule="auto"/>
        <w:rPr>
          <w:sz w:val="20"/>
          <w:szCs w:val="20"/>
          <w:color w:val="auto"/>
        </w:rPr>
      </w:pPr>
      <w:r>
        <w:rPr>
          <w:rFonts w:ascii="Times New Roman" w:cs="Times New Roman" w:eastAsia="Times New Roman" w:hAnsi="Times New Roman"/>
          <w:sz w:val="17"/>
          <w:szCs w:val="17"/>
          <w:color w:val="auto"/>
        </w:rPr>
        <w:t>100% of the net amount (as defined in the applicable Second Amended Employment Agreement) of such additional cash bonuses were used to purchase shares of the Company’s common stock in accordance with the Company’s policies and procedures and applicable law. The terms of the 2023 and 2024 additional cash bonus grants require the NEOs to hold such stock for a period of not less than (1) one year, for the first half of such stock, and</w:t>
      </w:r>
    </w:p>
    <w:p>
      <w:pPr>
        <w:spacing w:after="0" w:line="2" w:lineRule="exact"/>
        <w:rPr>
          <w:sz w:val="20"/>
          <w:szCs w:val="20"/>
          <w:color w:val="auto"/>
        </w:rPr>
      </w:pPr>
    </w:p>
    <w:p>
      <w:pPr>
        <w:ind w:left="340"/>
        <w:spacing w:after="0" w:line="260" w:lineRule="auto"/>
        <w:rPr>
          <w:sz w:val="20"/>
          <w:szCs w:val="20"/>
          <w:color w:val="auto"/>
        </w:rPr>
      </w:pPr>
      <w:r>
        <w:rPr>
          <w:rFonts w:ascii="Times New Roman" w:cs="Times New Roman" w:eastAsia="Times New Roman" w:hAnsi="Times New Roman"/>
          <w:sz w:val="18"/>
          <w:szCs w:val="18"/>
          <w:color w:val="auto"/>
        </w:rPr>
        <w:t>(2) two years, for the second half of such stock. The terms of the 2022 additional cash bonus grants require the NEOs to hold such stock for a period of not less than one year.</w:t>
      </w:r>
    </w:p>
    <w:p>
      <w:pPr>
        <w:spacing w:after="0" w:line="181" w:lineRule="exact"/>
        <w:rPr>
          <w:sz w:val="20"/>
          <w:szCs w:val="20"/>
          <w:color w:val="auto"/>
        </w:rPr>
      </w:pPr>
    </w:p>
    <w:p>
      <w:pPr>
        <w:jc w:val="both"/>
        <w:ind w:left="340" w:hanging="332"/>
        <w:spacing w:after="0" w:line="258"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noted, restricted stock grants to the NEOs under the Amended Equity Incentive Plan vest ratably over three years from the grant date, and all underlying shares are entitled to dividends and voting rights beginning on the grant date. The amounts reflected in the table represent the grant date fair value of such restricted stock awards in accordance with FASB ASC Topic 718 (“ASC 718”) based on the closing price of our common stock on the Nasdaq Global Select Market on the grant date. Such amounts may not correspond to the actual value that will be recognized by the NEOs upon vesting.</w:t>
      </w:r>
    </w:p>
    <w:p>
      <w:pPr>
        <w:spacing w:after="0" w:line="18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value of benefits in the form of employer-funded costs of medical, dental, and vision health plan premiums and other insurance plan premiums and employer matching contributions made to each NEO’s account in our 401(k) plan (“Other Benefits”) and (ii) value of dividends received or earned for the year in respect of each executive officer’s unvested restricted stock awards, as follows: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Accrued Restricted</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Accrued Cash</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All Other</w:t>
            </w:r>
          </w:p>
        </w:tc>
      </w:t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Stock Dividends on</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Dividends on</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60" w:type="dxa"/>
            <w:vAlign w:val="bottom"/>
          </w:tcPr>
          <w:p>
            <w:pPr>
              <w:spacing w:after="0"/>
              <w:rPr>
                <w:sz w:val="18"/>
                <w:szCs w:val="18"/>
                <w:color w:val="auto"/>
              </w:rPr>
            </w:pP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r>
      <w:tr>
        <w:trPr>
          <w:trHeight w:val="238"/>
        </w:trPr>
        <w:tc>
          <w:tcPr>
            <w:tcW w:w="2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0"/>
                <w:szCs w:val="20"/>
                <w:color w:val="auto"/>
              </w:rPr>
            </w:pP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90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Restricted Stock</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Restricted Stock</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Benefits</w:t>
            </w:r>
          </w:p>
        </w:tc>
        <w:tc>
          <w:tcPr>
            <w:tcW w:w="160" w:type="dxa"/>
            <w:vAlign w:val="bottom"/>
          </w:tcPr>
          <w:p>
            <w:pPr>
              <w:spacing w:after="0"/>
              <w:rPr>
                <w:sz w:val="20"/>
                <w:szCs w:val="20"/>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209"/>
        </w:trPr>
        <w:tc>
          <w:tcPr>
            <w:tcW w:w="2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D. Klein</w:t>
            </w: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right"/>
              <w:ind w:right="171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shd w:val="clear" w:color="auto" w:fill="CCEEFF"/>
          </w:tcPr>
          <w:p>
            <w:pPr>
              <w:spacing w:after="0"/>
              <w:rPr>
                <w:sz w:val="18"/>
                <w:szCs w:val="18"/>
                <w:color w:val="auto"/>
              </w:rPr>
            </w:pPr>
          </w:p>
        </w:tc>
        <w:tc>
          <w:tcPr>
            <w:tcW w:w="1900" w:type="dxa"/>
            <w:vAlign w:val="bottom"/>
            <w:shd w:val="clear" w:color="auto" w:fill="CCEEFF"/>
          </w:tcPr>
          <w:p>
            <w:pPr>
              <w:jc w:val="right"/>
              <w:ind w:right="17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409</w:t>
            </w:r>
          </w:p>
        </w:tc>
      </w:tr>
      <w:tr>
        <w:trPr>
          <w:trHeight w:val="216"/>
        </w:trPr>
        <w:tc>
          <w:tcPr>
            <w:tcW w:w="2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shd w:val="clear" w:color="auto" w:fill="CCEEFF"/>
          </w:tcPr>
          <w:p>
            <w:pPr>
              <w:spacing w:after="0"/>
              <w:rPr>
                <w:sz w:val="18"/>
                <w:szCs w:val="18"/>
                <w:color w:val="auto"/>
              </w:rPr>
            </w:pPr>
          </w:p>
        </w:tc>
        <w:tc>
          <w:tcPr>
            <w:tcW w:w="1900" w:type="dxa"/>
            <w:vAlign w:val="bottom"/>
            <w:shd w:val="clear" w:color="auto" w:fill="CCEEFF"/>
          </w:tcPr>
          <w:p>
            <w:pPr>
              <w:jc w:val="right"/>
              <w:ind w:right="17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53,030</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53,439</w:t>
            </w:r>
          </w:p>
        </w:tc>
      </w:tr>
      <w:tr>
        <w:trPr>
          <w:trHeight w:val="198"/>
        </w:trPr>
        <w:tc>
          <w:tcPr>
            <w:tcW w:w="2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Allison Green</w:t>
            </w:r>
          </w:p>
        </w:tc>
        <w:tc>
          <w:tcPr>
            <w:tcW w:w="120" w:type="dxa"/>
            <w:vAlign w:val="bottom"/>
          </w:tcPr>
          <w:p>
            <w:pPr>
              <w:spacing w:after="0"/>
              <w:rPr>
                <w:sz w:val="17"/>
                <w:szCs w:val="17"/>
                <w:color w:val="auto"/>
              </w:rPr>
            </w:pPr>
          </w:p>
        </w:tc>
        <w:tc>
          <w:tcPr>
            <w:tcW w:w="68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7"/>
                <w:szCs w:val="17"/>
                <w:color w:val="auto"/>
              </w:rPr>
            </w:pPr>
          </w:p>
        </w:tc>
        <w:tc>
          <w:tcPr>
            <w:tcW w:w="1900" w:type="dxa"/>
            <w:vAlign w:val="bottom"/>
          </w:tcPr>
          <w:p>
            <w:pPr>
              <w:jc w:val="right"/>
              <w:ind w:right="171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tcPr>
          <w:p>
            <w:pPr>
              <w:ind w:left="80"/>
              <w:spacing w:after="0" w:line="198"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gridSpan w:val="2"/>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00"/>
              <w:spacing w:after="0" w:line="198" w:lineRule="exact"/>
              <w:rPr>
                <w:sz w:val="20"/>
                <w:szCs w:val="20"/>
                <w:color w:val="auto"/>
              </w:rPr>
            </w:pPr>
            <w:r>
              <w:rPr>
                <w:rFonts w:ascii="Times New Roman" w:cs="Times New Roman" w:eastAsia="Times New Roman" w:hAnsi="Times New Roman"/>
                <w:sz w:val="18"/>
                <w:szCs w:val="18"/>
                <w:color w:val="auto"/>
              </w:rPr>
              <w:t>33,598</w:t>
            </w:r>
          </w:p>
        </w:tc>
        <w:tc>
          <w:tcPr>
            <w:tcW w:w="1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33,598</w:t>
            </w:r>
          </w:p>
        </w:tc>
      </w:tr>
      <w:tr>
        <w:trPr>
          <w:trHeight w:val="216"/>
        </w:trPr>
        <w:tc>
          <w:tcPr>
            <w:tcW w:w="2700" w:type="dxa"/>
            <w:vAlign w:val="bottom"/>
          </w:tcPr>
          <w:p>
            <w:pPr>
              <w:spacing w:after="0"/>
              <w:rPr>
                <w:sz w:val="18"/>
                <w:szCs w:val="18"/>
                <w:color w:val="auto"/>
              </w:rPr>
            </w:pPr>
          </w:p>
        </w:tc>
        <w:tc>
          <w:tcPr>
            <w:tcW w:w="8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18"/>
                <w:szCs w:val="18"/>
                <w:color w:val="auto"/>
              </w:rPr>
            </w:pPr>
          </w:p>
        </w:tc>
        <w:tc>
          <w:tcPr>
            <w:tcW w:w="1900" w:type="dxa"/>
            <w:vAlign w:val="bottom"/>
          </w:tcPr>
          <w:p>
            <w:pPr>
              <w:jc w:val="right"/>
              <w:ind w:right="17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25,974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25,974</w:t>
            </w:r>
          </w:p>
        </w:tc>
      </w:tr>
      <w:tr>
        <w:trPr>
          <w:trHeight w:val="234"/>
        </w:trPr>
        <w:tc>
          <w:tcPr>
            <w:tcW w:w="2700" w:type="dxa"/>
            <w:vAlign w:val="bottom"/>
          </w:tcPr>
          <w:p>
            <w:pPr>
              <w:spacing w:after="0"/>
              <w:rPr>
                <w:sz w:val="20"/>
                <w:szCs w:val="20"/>
                <w:color w:val="auto"/>
              </w:rPr>
            </w:pPr>
          </w:p>
        </w:tc>
        <w:tc>
          <w:tcPr>
            <w:tcW w:w="8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20"/>
                <w:szCs w:val="20"/>
                <w:color w:val="auto"/>
              </w:rPr>
            </w:pPr>
          </w:p>
        </w:tc>
        <w:tc>
          <w:tcPr>
            <w:tcW w:w="1900" w:type="dxa"/>
            <w:vAlign w:val="bottom"/>
          </w:tcPr>
          <w:p>
            <w:pPr>
              <w:jc w:val="right"/>
              <w:ind w:right="17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8,733</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19,006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27,739</w:t>
            </w: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best align the NEOs’ interests with those of the Company’s stockholders, the Amended Equity Incentive Plan provides for dividend rights on the restricted stock grants. Pursuant to the Amended Equity Incentive Plan, any accrued cash and/or restricted stock dividends on the unvested restricted share grants retain the same vesting schedule as the underlying shares. Such amounts may not correspond to the actual value recognized by the NEOs upon vesting.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Grants of Plan-Based Awards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restricted stock awards granted to our NEOs under the Amended Equity Incentive Plan during the fiscal year ended December 31, 2024:</w:t>
      </w:r>
    </w:p>
    <w:p>
      <w:pPr>
        <w:spacing w:after="0" w:line="158"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Stock Awards; Number</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Grant Date Fair Value</w:t>
            </w:r>
          </w:p>
        </w:tc>
      </w:tr>
      <w:tr>
        <w:trPr>
          <w:trHeight w:val="275"/>
        </w:trPr>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98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2620" w:type="dxa"/>
            <w:vAlign w:val="bottom"/>
          </w:tcPr>
          <w:p>
            <w:pPr>
              <w:jc w:val="right"/>
              <w:ind w:right="450"/>
              <w:spacing w:after="0" w:line="276" w:lineRule="exact"/>
              <w:rPr>
                <w:sz w:val="20"/>
                <w:szCs w:val="20"/>
                <w:color w:val="auto"/>
              </w:rPr>
            </w:pPr>
            <w:r>
              <w:rPr>
                <w:rFonts w:ascii="Times New Roman" w:cs="Times New Roman" w:eastAsia="Times New Roman" w:hAnsi="Times New Roman"/>
                <w:sz w:val="18"/>
                <w:szCs w:val="18"/>
                <w:b w:val="1"/>
                <w:bCs w:val="1"/>
                <w:color w:val="auto"/>
              </w:rPr>
              <w:t>of Shares of Stock</w:t>
            </w:r>
            <w:r>
              <w:rPr>
                <w:rFonts w:ascii="Times New Roman" w:cs="Times New Roman" w:eastAsia="Times New Roman" w:hAnsi="Times New Roman"/>
                <w:sz w:val="29"/>
                <w:szCs w:val="29"/>
                <w:b w:val="1"/>
                <w:bCs w:val="1"/>
                <w:color w:val="auto"/>
                <w:vertAlign w:val="superscript"/>
              </w:rPr>
              <w:t>(1)</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20" w:type="dxa"/>
            <w:vAlign w:val="bottom"/>
            <w:gridSpan w:val="2"/>
          </w:tcPr>
          <w:p>
            <w:pPr>
              <w:jc w:val="center"/>
              <w:ind w:right="200"/>
              <w:spacing w:after="0" w:line="276" w:lineRule="exact"/>
              <w:rPr>
                <w:sz w:val="20"/>
                <w:szCs w:val="20"/>
                <w:color w:val="auto"/>
              </w:rPr>
            </w:pPr>
            <w:r>
              <w:rPr>
                <w:rFonts w:ascii="Times New Roman" w:cs="Times New Roman" w:eastAsia="Times New Roman" w:hAnsi="Times New Roman"/>
                <w:sz w:val="18"/>
                <w:szCs w:val="18"/>
                <w:b w:val="1"/>
                <w:bCs w:val="1"/>
                <w:color w:val="auto"/>
                <w:w w:val="94"/>
              </w:rPr>
              <w:t>of Stock Awards</w:t>
            </w:r>
            <w:r>
              <w:rPr>
                <w:rFonts w:ascii="Times New Roman" w:cs="Times New Roman" w:eastAsia="Times New Roman" w:hAnsi="Times New Roman"/>
                <w:sz w:val="29"/>
                <w:szCs w:val="29"/>
                <w:b w:val="1"/>
                <w:bCs w:val="1"/>
                <w:color w:val="auto"/>
                <w:w w:val="94"/>
                <w:vertAlign w:val="superscript"/>
              </w:rPr>
              <w:t>(2)</w:t>
            </w:r>
          </w:p>
        </w:tc>
      </w:tr>
      <w:tr>
        <w:trPr>
          <w:trHeight w:val="210"/>
        </w:trPr>
        <w:tc>
          <w:tcPr>
            <w:tcW w:w="1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D. Klein</w:t>
            </w:r>
          </w:p>
        </w:tc>
        <w:tc>
          <w:tcPr>
            <w:tcW w:w="10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8"/>
              </w:rPr>
              <w:t>December 10, 2024</w:t>
            </w:r>
          </w:p>
        </w:tc>
        <w:tc>
          <w:tcPr>
            <w:tcW w:w="8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34"/>
        </w:trPr>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Allison Green</w:t>
            </w:r>
          </w:p>
        </w:tc>
        <w:tc>
          <w:tcPr>
            <w:tcW w:w="19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December 10, 2024</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153,500</w:t>
            </w:r>
          </w:p>
        </w:tc>
        <w:tc>
          <w:tcPr>
            <w:tcW w:w="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7830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94" w:lineRule="exact"/>
        <w:rPr>
          <w:sz w:val="20"/>
          <w:szCs w:val="20"/>
          <w:color w:val="auto"/>
        </w:rPr>
      </w:pPr>
    </w:p>
    <w:p>
      <w:pPr>
        <w:ind w:left="340" w:right="20" w:hanging="332"/>
        <w:spacing w:after="0" w:line="282"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grants to NEOs under the Amended Incentive Plan in 2024 vest ratably over three years from the grant date, and all underlying shares are entitled to dividends and voting rights beginning on the grant date.</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grant date fair value of restricted stock awards determined in accordance with ASC 718 based on the closing price of our common stock on the date of grant. Such amounts may not correspond to the actual value that will be recognized by the NEOs upon vesting.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 End</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awards of restricted stock for which vesting and forfeiture provisions have not lapsed and remained outstanding at December 31, 2024: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4340" w:type="dxa"/>
            <w:vAlign w:val="bottom"/>
            <w:tcBorders>
              <w:bottom w:val="single" w:sz="8" w:color="auto"/>
            </w:tcBorders>
            <w:gridSpan w:val="5"/>
          </w:tcPr>
          <w:p>
            <w:pPr>
              <w:ind w:left="130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1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6"/>
        </w:trPr>
        <w:tc>
          <w:tcPr>
            <w:tcW w:w="2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20" w:type="dxa"/>
            <w:vAlign w:val="bottom"/>
            <w:gridSpan w:val="3"/>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Number of Shares of Stock</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80" w:type="dxa"/>
            <w:vAlign w:val="bottom"/>
            <w:gridSpan w:val="4"/>
          </w:tcPr>
          <w:p>
            <w:pPr>
              <w:jc w:val="center"/>
              <w:ind w:right="150"/>
              <w:spacing w:after="0" w:line="196" w:lineRule="exact"/>
              <w:rPr>
                <w:sz w:val="20"/>
                <w:szCs w:val="20"/>
                <w:color w:val="auto"/>
              </w:rPr>
            </w:pPr>
            <w:r>
              <w:rPr>
                <w:rFonts w:ascii="Times New Roman" w:cs="Times New Roman" w:eastAsia="Times New Roman" w:hAnsi="Times New Roman"/>
                <w:sz w:val="18"/>
                <w:szCs w:val="18"/>
                <w:b w:val="1"/>
                <w:bCs w:val="1"/>
                <w:color w:val="auto"/>
                <w:w w:val="98"/>
              </w:rPr>
              <w:t>Market Value of Shares of Stock</w:t>
            </w:r>
          </w:p>
        </w:tc>
        <w:tc>
          <w:tcPr>
            <w:tcW w:w="100" w:type="dxa"/>
            <w:vAlign w:val="bottom"/>
          </w:tcPr>
          <w:p>
            <w:pPr>
              <w:spacing w:after="0"/>
              <w:rPr>
                <w:sz w:val="17"/>
                <w:szCs w:val="17"/>
                <w:color w:val="auto"/>
              </w:rPr>
            </w:pPr>
          </w:p>
        </w:tc>
      </w:tr>
      <w:tr>
        <w:trPr>
          <w:trHeight w:val="270"/>
        </w:trPr>
        <w:tc>
          <w:tcPr>
            <w:tcW w:w="2780" w:type="dxa"/>
            <w:vAlign w:val="bottom"/>
            <w:gridSpan w:val="2"/>
          </w:tcPr>
          <w:p>
            <w:pPr>
              <w:ind w:left="11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0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That Have Not Vested (#)</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980" w:type="dxa"/>
            <w:vAlign w:val="bottom"/>
            <w:gridSpan w:val="5"/>
          </w:tcPr>
          <w:p>
            <w:pPr>
              <w:jc w:val="center"/>
              <w:ind w:right="360"/>
              <w:spacing w:after="0" w:line="270" w:lineRule="exact"/>
              <w:rPr>
                <w:sz w:val="20"/>
                <w:szCs w:val="20"/>
                <w:color w:val="auto"/>
              </w:rPr>
            </w:pPr>
            <w:r>
              <w:rPr>
                <w:rFonts w:ascii="Times New Roman" w:cs="Times New Roman" w:eastAsia="Times New Roman" w:hAnsi="Times New Roman"/>
                <w:sz w:val="18"/>
                <w:szCs w:val="18"/>
                <w:b w:val="1"/>
                <w:bCs w:val="1"/>
                <w:color w:val="auto"/>
                <w:w w:val="96"/>
              </w:rPr>
              <w:t>That Have Not Vested</w:t>
            </w:r>
            <w:r>
              <w:rPr>
                <w:rFonts w:ascii="Times New Roman" w:cs="Times New Roman" w:eastAsia="Times New Roman" w:hAnsi="Times New Roman"/>
                <w:sz w:val="29"/>
                <w:szCs w:val="29"/>
                <w:color w:val="auto"/>
                <w:w w:val="96"/>
                <w:vertAlign w:val="superscript"/>
              </w:rPr>
              <w:t>(1)</w:t>
            </w:r>
          </w:p>
        </w:tc>
      </w:tr>
      <w:tr>
        <w:trPr>
          <w:trHeight w:val="187"/>
        </w:trPr>
        <w:tc>
          <w:tcPr>
            <w:tcW w:w="26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200" w:type="dxa"/>
            <w:vAlign w:val="bottom"/>
            <w:tcBorders>
              <w:top w:val="single" w:sz="8" w:color="auto"/>
            </w:tcBorders>
            <w:gridSpan w:val="2"/>
          </w:tcPr>
          <w:p>
            <w:pPr>
              <w:jc w:val="center"/>
              <w:ind w:right="4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Market Value of</w:t>
            </w:r>
          </w:p>
        </w:tc>
        <w:tc>
          <w:tcPr>
            <w:tcW w:w="14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Market Value of</w:t>
            </w:r>
          </w:p>
        </w:tc>
        <w:tc>
          <w:tcPr>
            <w:tcW w:w="100" w:type="dxa"/>
            <w:vAlign w:val="bottom"/>
          </w:tcPr>
          <w:p>
            <w:pPr>
              <w:spacing w:after="0"/>
              <w:rPr>
                <w:sz w:val="16"/>
                <w:szCs w:val="16"/>
                <w:color w:val="auto"/>
              </w:rPr>
            </w:pPr>
          </w:p>
        </w:tc>
      </w:tr>
      <w:tr>
        <w:trPr>
          <w:trHeight w:val="216"/>
        </w:trPr>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gridSpan w:val="2"/>
          </w:tcPr>
          <w:p>
            <w:pPr>
              <w:jc w:val="center"/>
              <w:ind w:right="265"/>
              <w:spacing w:after="0"/>
              <w:rPr>
                <w:sz w:val="20"/>
                <w:szCs w:val="20"/>
                <w:color w:val="auto"/>
              </w:rPr>
            </w:pPr>
            <w:r>
              <w:rPr>
                <w:rFonts w:ascii="Times New Roman" w:cs="Times New Roman" w:eastAsia="Times New Roman" w:hAnsi="Times New Roman"/>
                <w:sz w:val="18"/>
                <w:szCs w:val="18"/>
                <w:b w:val="1"/>
                <w:bCs w:val="1"/>
                <w:color w:val="auto"/>
                <w:w w:val="99"/>
              </w:rPr>
              <w:t>Shares of Granted</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Accrued</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Shares of Granted</w:t>
            </w:r>
          </w:p>
        </w:tc>
        <w:tc>
          <w:tcPr>
            <w:tcW w:w="140" w:type="dxa"/>
            <w:vAlign w:val="bottom"/>
          </w:tcPr>
          <w:p>
            <w:pPr>
              <w:spacing w:after="0"/>
              <w:rPr>
                <w:sz w:val="18"/>
                <w:szCs w:val="18"/>
                <w:color w:val="auto"/>
              </w:rPr>
            </w:pPr>
          </w:p>
        </w:tc>
        <w:tc>
          <w:tcPr>
            <w:tcW w:w="16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Accrued</w:t>
            </w:r>
          </w:p>
        </w:tc>
      </w:tr>
      <w:tr>
        <w:trPr>
          <w:trHeight w:val="216"/>
        </w:trPr>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gridSpan w:val="2"/>
          </w:tcPr>
          <w:p>
            <w:pPr>
              <w:jc w:val="center"/>
              <w:ind w:right="305"/>
              <w:spacing w:after="0"/>
              <w:rPr>
                <w:sz w:val="20"/>
                <w:szCs w:val="20"/>
                <w:color w:val="auto"/>
              </w:rPr>
            </w:pPr>
            <w:r>
              <w:rPr>
                <w:rFonts w:ascii="Times New Roman" w:cs="Times New Roman" w:eastAsia="Times New Roman" w:hAnsi="Times New Roman"/>
                <w:sz w:val="18"/>
                <w:szCs w:val="18"/>
                <w:b w:val="1"/>
                <w:bCs w:val="1"/>
                <w:color w:val="auto"/>
              </w:rPr>
              <w:t>Restricted Stock</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Dividend Shares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Restricted Stock</w:t>
            </w:r>
          </w:p>
        </w:tc>
        <w:tc>
          <w:tcPr>
            <w:tcW w:w="140" w:type="dxa"/>
            <w:vAlign w:val="bottom"/>
          </w:tcPr>
          <w:p>
            <w:pPr>
              <w:spacing w:after="0"/>
              <w:rPr>
                <w:sz w:val="18"/>
                <w:szCs w:val="18"/>
                <w:color w:val="auto"/>
              </w:rPr>
            </w:pPr>
          </w:p>
        </w:tc>
        <w:tc>
          <w:tcPr>
            <w:tcW w:w="16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Dividend Shares</w:t>
            </w:r>
          </w:p>
        </w:tc>
      </w:tr>
      <w:tr>
        <w:trPr>
          <w:trHeight w:val="216"/>
        </w:trPr>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gridSpan w:val="2"/>
          </w:tcPr>
          <w:p>
            <w:pPr>
              <w:jc w:val="center"/>
              <w:ind w:right="305"/>
              <w:spacing w:after="0"/>
              <w:rPr>
                <w:sz w:val="20"/>
                <w:szCs w:val="20"/>
                <w:color w:val="auto"/>
              </w:rPr>
            </w:pPr>
            <w:r>
              <w:rPr>
                <w:rFonts w:ascii="Times New Roman" w:cs="Times New Roman" w:eastAsia="Times New Roman" w:hAnsi="Times New Roman"/>
                <w:sz w:val="18"/>
                <w:szCs w:val="18"/>
                <w:b w:val="1"/>
                <w:bCs w:val="1"/>
                <w:color w:val="auto"/>
                <w:w w:val="96"/>
              </w:rPr>
              <w:t>Awards Not Yet</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 Restricted</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6"/>
              </w:rPr>
              <w:t>Awards Not Yet</w:t>
            </w:r>
          </w:p>
        </w:tc>
        <w:tc>
          <w:tcPr>
            <w:tcW w:w="140" w:type="dxa"/>
            <w:vAlign w:val="bottom"/>
          </w:tcPr>
          <w:p>
            <w:pPr>
              <w:spacing w:after="0"/>
              <w:rPr>
                <w:sz w:val="18"/>
                <w:szCs w:val="18"/>
                <w:color w:val="auto"/>
              </w:rPr>
            </w:pPr>
          </w:p>
        </w:tc>
        <w:tc>
          <w:tcPr>
            <w:tcW w:w="16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of Restricted</w:t>
            </w:r>
          </w:p>
        </w:tc>
      </w:tr>
      <w:tr>
        <w:trPr>
          <w:trHeight w:val="238"/>
        </w:trPr>
        <w:tc>
          <w:tcPr>
            <w:tcW w:w="26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Vested</w:t>
            </w:r>
          </w:p>
        </w:tc>
        <w:tc>
          <w:tcPr>
            <w:tcW w:w="34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Stock</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00" w:type="dxa"/>
            <w:vAlign w:val="bottom"/>
            <w:tcBorders>
              <w:bottom w:val="single" w:sz="8" w:color="CCEEFF"/>
            </w:tcBorders>
          </w:tcPr>
          <w:p>
            <w:pPr>
              <w:spacing w:after="0"/>
              <w:rPr>
                <w:sz w:val="20"/>
                <w:szCs w:val="20"/>
                <w:color w:val="auto"/>
              </w:rPr>
            </w:pPr>
          </w:p>
        </w:tc>
      </w:tr>
      <w:tr>
        <w:trPr>
          <w:trHeight w:val="237"/>
        </w:trPr>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D. Klein</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230,931</w:t>
            </w:r>
          </w:p>
        </w:tc>
        <w:tc>
          <w:tcPr>
            <w:tcW w:w="34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w w:val="91"/>
              </w:rPr>
              <w:t>(2)</w:t>
            </w:r>
          </w:p>
        </w:tc>
        <w:tc>
          <w:tcPr>
            <w:tcW w:w="16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1,364,943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394"/>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Allison Green</w:t>
            </w:r>
          </w:p>
        </w:tc>
        <w:tc>
          <w:tcPr>
            <w:tcW w:w="2340" w:type="dxa"/>
            <w:vAlign w:val="bottom"/>
            <w:gridSpan w:val="2"/>
          </w:tcPr>
          <w:p>
            <w:pPr>
              <w:jc w:val="right"/>
              <w:ind w:right="85"/>
              <w:spacing w:after="0"/>
              <w:rPr>
                <w:sz w:val="20"/>
                <w:szCs w:val="20"/>
                <w:color w:val="auto"/>
              </w:rPr>
            </w:pPr>
            <w:r>
              <w:rPr>
                <w:rFonts w:ascii="Times New Roman" w:cs="Times New Roman" w:eastAsia="Times New Roman" w:hAnsi="Times New Roman"/>
                <w:sz w:val="18"/>
                <w:szCs w:val="18"/>
                <w:color w:val="auto"/>
              </w:rPr>
              <w:t>58,013</w:t>
            </w:r>
            <w:r>
              <w:rPr>
                <w:rFonts w:ascii="Times New Roman" w:cs="Times New Roman" w:eastAsia="Times New Roman" w:hAnsi="Times New Roman"/>
                <w:sz w:val="29"/>
                <w:szCs w:val="29"/>
                <w:color w:val="auto"/>
                <w:vertAlign w:val="superscript"/>
              </w:rPr>
              <w:t>(3)</w:t>
            </w:r>
          </w:p>
        </w:tc>
        <w:tc>
          <w:tcPr>
            <w:tcW w:w="16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342,914</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17830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89" w:lineRule="exact"/>
        <w:rPr>
          <w:sz w:val="20"/>
          <w:szCs w:val="20"/>
          <w:color w:val="auto"/>
        </w:rPr>
      </w:pPr>
    </w:p>
    <w:p>
      <w:pPr>
        <w:ind w:left="340" w:hanging="332"/>
        <w:spacing w:after="0" w:line="282"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value of shares of stock that have not vested was determined based on the closing price of our common stock on the Nasdaq Global Select Market on December 31, 2024 of $5.88. Such amounts may not correspond to the actual value recognized by the NEOs upon vesting.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7" w:name="page38"/>
    <w:bookmarkEnd w:id="37"/>
    <w:p>
      <w:pPr>
        <w:jc w:val="both"/>
        <w:ind w:left="340" w:hanging="332"/>
        <w:spacing w:after="0" w:line="266"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64,264 restricted shares granted on February 9, 2022, 66,667 restricted shares granted on December 15, 2023, and 100,000 restricted shares granted on December 10, 2024. Such restricted shares, including any dividends declared thereon, vest ratably over three years from the grant date, subject in each case to the NEO still being employed by the Company on the respective vesting date.</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16,346 restricted shares granted on February 9, 2022, 16,667 restricted shares granted on December 15, 2023, and 25,000 restricted shares granted on December 10, 2024. Such restricted shares, including any dividends declared thereon, vest ratably over three years from the grant date, subject in each case to the NEO still being employed by the Company on the respective vesting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Awards Vested in Fiscal Year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fiscal year ended December 31, 2024, restricted shares granted to our NEOs under the Amended Equity Incentive Plan vested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60" w:type="dxa"/>
            <w:vAlign w:val="bottom"/>
            <w:tcBorders>
              <w:bottom w:val="single" w:sz="8" w:color="auto"/>
            </w:tcBorders>
            <w:gridSpan w:val="2"/>
          </w:tcPr>
          <w:p>
            <w:pPr>
              <w:jc w:val="right"/>
              <w:ind w:right="485"/>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266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Borders>
              <w:bottom w:val="single" w:sz="8" w:color="CCEEFF"/>
            </w:tcBorders>
          </w:tcPr>
          <w:p>
            <w:pPr>
              <w:spacing w:after="0"/>
              <w:rPr>
                <w:sz w:val="21"/>
                <w:szCs w:val="21"/>
                <w:color w:val="auto"/>
              </w:rPr>
            </w:pPr>
          </w:p>
        </w:tc>
        <w:tc>
          <w:tcPr>
            <w:tcW w:w="500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Number of Shares Acquired on Vesting (#)</w:t>
            </w:r>
          </w:p>
        </w:tc>
        <w:tc>
          <w:tcPr>
            <w:tcW w:w="2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tcPr>
          <w:p>
            <w:pPr>
              <w:jc w:val="right"/>
              <w:ind w:right="211"/>
              <w:spacing w:after="0" w:line="250" w:lineRule="exact"/>
              <w:rPr>
                <w:sz w:val="20"/>
                <w:szCs w:val="20"/>
                <w:color w:val="auto"/>
              </w:rPr>
            </w:pPr>
            <w:r>
              <w:rPr>
                <w:rFonts w:ascii="Times New Roman" w:cs="Times New Roman" w:eastAsia="Times New Roman" w:hAnsi="Times New Roman"/>
                <w:sz w:val="17"/>
                <w:szCs w:val="17"/>
                <w:b w:val="1"/>
                <w:bCs w:val="1"/>
                <w:color w:val="auto"/>
              </w:rPr>
              <w:t>Value Realized on Vesting ($)</w:t>
            </w:r>
            <w:r>
              <w:rPr>
                <w:rFonts w:ascii="Times New Roman" w:cs="Times New Roman" w:eastAsia="Times New Roman" w:hAnsi="Times New Roman"/>
                <w:sz w:val="28"/>
                <w:szCs w:val="28"/>
                <w:b w:val="1"/>
                <w:bCs w:val="1"/>
                <w:color w:val="auto"/>
                <w:vertAlign w:val="superscript"/>
              </w:rPr>
              <w:t>(1)</w:t>
            </w:r>
          </w:p>
        </w:tc>
        <w:tc>
          <w:tcPr>
            <w:tcW w:w="100" w:type="dxa"/>
            <w:vAlign w:val="bottom"/>
            <w:tcBorders>
              <w:bottom w:val="single" w:sz="8" w:color="CCEEFF"/>
            </w:tcBorders>
          </w:tcPr>
          <w:p>
            <w:pPr>
              <w:spacing w:after="0"/>
              <w:rPr>
                <w:sz w:val="21"/>
                <w:szCs w:val="21"/>
                <w:color w:val="auto"/>
              </w:rPr>
            </w:pPr>
          </w:p>
        </w:tc>
      </w:tr>
      <w:tr>
        <w:trPr>
          <w:trHeight w:val="237"/>
        </w:trPr>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D. Klein</w:t>
            </w:r>
          </w:p>
        </w:tc>
        <w:tc>
          <w:tcPr>
            <w:tcW w:w="5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221,414</w:t>
            </w:r>
          </w:p>
        </w:tc>
        <w:tc>
          <w:tcPr>
            <w:tcW w:w="2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w w:val="91"/>
              </w:rPr>
              <w:t>(2)</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956,166</w:t>
            </w:r>
          </w:p>
        </w:tc>
      </w:tr>
      <w:tr>
        <w:trPr>
          <w:trHeight w:val="394"/>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Allison Green</w:t>
            </w:r>
          </w:p>
        </w:tc>
        <w:tc>
          <w:tcPr>
            <w:tcW w:w="5260" w:type="dxa"/>
            <w:vAlign w:val="bottom"/>
            <w:gridSpan w:val="2"/>
          </w:tcPr>
          <w:p>
            <w:pPr>
              <w:jc w:val="right"/>
              <w:ind w:right="5"/>
              <w:spacing w:after="0"/>
              <w:rPr>
                <w:sz w:val="20"/>
                <w:szCs w:val="20"/>
                <w:color w:val="auto"/>
              </w:rPr>
            </w:pPr>
            <w:r>
              <w:rPr>
                <w:rFonts w:ascii="Times New Roman" w:cs="Times New Roman" w:eastAsia="Times New Roman" w:hAnsi="Times New Roman"/>
                <w:sz w:val="18"/>
                <w:szCs w:val="18"/>
                <w:color w:val="auto"/>
              </w:rPr>
              <w:t>39,858</w:t>
            </w:r>
            <w:r>
              <w:rPr>
                <w:rFonts w:ascii="Times New Roman" w:cs="Times New Roman" w:eastAsia="Times New Roman" w:hAnsi="Times New Roman"/>
                <w:sz w:val="29"/>
                <w:szCs w:val="29"/>
                <w:color w:val="auto"/>
                <w:vertAlign w:val="superscript"/>
              </w:rPr>
              <w:t>(3)</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159,311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17830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75" w:lineRule="exact"/>
        <w:rPr>
          <w:sz w:val="20"/>
          <w:szCs w:val="20"/>
          <w:color w:val="auto"/>
        </w:rPr>
      </w:pPr>
    </w:p>
    <w:p>
      <w:pPr>
        <w:ind w:left="340" w:right="20" w:hanging="332"/>
        <w:spacing w:after="0" w:line="282"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dollar amount realized upon vesting is determined based on the closing price of our common stock on the Nasdaq Global Select Market on the respective vesting date.</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 64,264 shares vested on February 9, 2024, (2) 82,150 shares vested on February 10, 2024, (3) 41,667 shares vested on December 10, 2024, and (4) 33,333 shares vested on December 15, 2024.</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 16,345 shares vested on February 9, 2024, (2) 15,180 shares vested on February 10, 2024, and (3) 8,333 shares vested on December 15,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Change in Control or Termination of Employment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described under “Employment Agreements,” upon the termination of an NEO’s employment with the Company, whether due to death or disability, as a result of a change in control, for cause or without cause, voluntarily or for good reason (as such terms are defined in the NEO’s Second Amended Employment Agreement), certain payments and benefits will be paid and made available to such NEOs. Under the Second Amended Employment Agreements, if an NEO’s employment is terminated as a result of death or disability, without cause or for good reason, any unvested portion of any equity awards held by the NEO will immediately vest in full and become exercisable and free from forfeiture or repurchase, as applicable, as of the effective date of any such event of employment termination. If the NEO’s employment is terminated for any other reason, including for cause, any unvested portion of any equity awards held by the NEO will be forfeited immediately as of the effective of date of any such event of employment termination. See “Employment Agreements” for additional information.</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estimates of the potential payments and benefits such NEOs would receive pursuant to his or her Second Amended Employment Agreement, assuming his or her employment was terminated on December 31, 2024.</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16"/>
        </w:trPr>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Termination</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345"/>
              <w:spacing w:after="0"/>
              <w:rPr>
                <w:sz w:val="20"/>
                <w:szCs w:val="20"/>
                <w:color w:val="auto"/>
              </w:rPr>
            </w:pPr>
            <w:r>
              <w:rPr>
                <w:rFonts w:ascii="Times New Roman" w:cs="Times New Roman" w:eastAsia="Times New Roman" w:hAnsi="Times New Roman"/>
                <w:sz w:val="18"/>
                <w:szCs w:val="18"/>
                <w:b w:val="1"/>
                <w:bCs w:val="1"/>
                <w:color w:val="auto"/>
                <w:w w:val="96"/>
              </w:rPr>
              <w:t>Termination</w:t>
            </w:r>
          </w:p>
        </w:tc>
        <w:tc>
          <w:tcPr>
            <w:tcW w:w="200" w:type="dxa"/>
            <w:vAlign w:val="bottom"/>
          </w:tcPr>
          <w:p>
            <w:pPr>
              <w:spacing w:after="0"/>
              <w:rPr>
                <w:sz w:val="18"/>
                <w:szCs w:val="18"/>
                <w:color w:val="auto"/>
              </w:rPr>
            </w:pPr>
          </w:p>
        </w:tc>
        <w:tc>
          <w:tcPr>
            <w:tcW w:w="178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without Cause</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without Cause or</w:t>
            </w:r>
          </w:p>
        </w:tc>
        <w:tc>
          <w:tcPr>
            <w:tcW w:w="200" w:type="dxa"/>
            <w:vAlign w:val="bottom"/>
          </w:tcPr>
          <w:p>
            <w:pPr>
              <w:spacing w:after="0"/>
              <w:rPr>
                <w:sz w:val="18"/>
                <w:szCs w:val="18"/>
                <w:color w:val="auto"/>
              </w:rPr>
            </w:pPr>
          </w:p>
        </w:tc>
        <w:tc>
          <w:tcPr>
            <w:tcW w:w="178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or Resignation</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345"/>
              <w:spacing w:after="0"/>
              <w:rPr>
                <w:sz w:val="20"/>
                <w:szCs w:val="20"/>
                <w:color w:val="auto"/>
              </w:rPr>
            </w:pPr>
            <w:r>
              <w:rPr>
                <w:rFonts w:ascii="Times New Roman" w:cs="Times New Roman" w:eastAsia="Times New Roman" w:hAnsi="Times New Roman"/>
                <w:sz w:val="18"/>
                <w:szCs w:val="18"/>
                <w:b w:val="1"/>
                <w:bCs w:val="1"/>
                <w:color w:val="auto"/>
                <w:w w:val="99"/>
              </w:rPr>
              <w:t>Resignation for</w:t>
            </w:r>
          </w:p>
        </w:tc>
        <w:tc>
          <w:tcPr>
            <w:tcW w:w="200" w:type="dxa"/>
            <w:vAlign w:val="bottom"/>
          </w:tcPr>
          <w:p>
            <w:pPr>
              <w:spacing w:after="0"/>
              <w:rPr>
                <w:sz w:val="18"/>
                <w:szCs w:val="18"/>
                <w:color w:val="auto"/>
              </w:rPr>
            </w:pPr>
          </w:p>
        </w:tc>
        <w:tc>
          <w:tcPr>
            <w:tcW w:w="178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for Good</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345"/>
              <w:spacing w:after="0"/>
              <w:rPr>
                <w:sz w:val="20"/>
                <w:szCs w:val="20"/>
                <w:color w:val="auto"/>
              </w:rPr>
            </w:pPr>
            <w:r>
              <w:rPr>
                <w:rFonts w:ascii="Times New Roman" w:cs="Times New Roman" w:eastAsia="Times New Roman" w:hAnsi="Times New Roman"/>
                <w:sz w:val="18"/>
                <w:szCs w:val="18"/>
                <w:b w:val="1"/>
                <w:bCs w:val="1"/>
                <w:color w:val="auto"/>
                <w:w w:val="99"/>
              </w:rPr>
              <w:t>Good Reason</w:t>
            </w:r>
          </w:p>
        </w:tc>
        <w:tc>
          <w:tcPr>
            <w:tcW w:w="200" w:type="dxa"/>
            <w:vAlign w:val="bottom"/>
          </w:tcPr>
          <w:p>
            <w:pPr>
              <w:spacing w:after="0"/>
              <w:rPr>
                <w:sz w:val="18"/>
                <w:szCs w:val="18"/>
                <w:color w:val="auto"/>
              </w:rPr>
            </w:pPr>
          </w:p>
        </w:tc>
        <w:tc>
          <w:tcPr>
            <w:tcW w:w="178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Reason After a</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Upon Death or</w:t>
            </w:r>
          </w:p>
        </w:tc>
        <w:tc>
          <w:tcPr>
            <w:tcW w:w="12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Voluntary</w:t>
            </w:r>
          </w:p>
        </w:tc>
        <w:tc>
          <w:tcPr>
            <w:tcW w:w="10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Termination</w:t>
            </w:r>
          </w:p>
        </w:tc>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Prior to a Change</w:t>
            </w:r>
          </w:p>
        </w:tc>
        <w:tc>
          <w:tcPr>
            <w:tcW w:w="200" w:type="dxa"/>
            <w:vAlign w:val="bottom"/>
          </w:tcPr>
          <w:p>
            <w:pPr>
              <w:spacing w:after="0"/>
              <w:rPr>
                <w:sz w:val="18"/>
                <w:szCs w:val="18"/>
                <w:color w:val="auto"/>
              </w:rPr>
            </w:pPr>
          </w:p>
        </w:tc>
        <w:tc>
          <w:tcPr>
            <w:tcW w:w="178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Change in</w:t>
            </w:r>
          </w:p>
        </w:tc>
        <w:tc>
          <w:tcPr>
            <w:tcW w:w="0" w:type="dxa"/>
            <w:vAlign w:val="bottom"/>
          </w:tcPr>
          <w:p>
            <w:pPr>
              <w:spacing w:after="0"/>
              <w:rPr>
                <w:sz w:val="1"/>
                <w:szCs w:val="1"/>
                <w:color w:val="auto"/>
              </w:rPr>
            </w:pPr>
          </w:p>
        </w:tc>
      </w:tr>
      <w:tr>
        <w:trPr>
          <w:trHeight w:val="220"/>
        </w:trPr>
        <w:tc>
          <w:tcPr>
            <w:tcW w:w="1540" w:type="dxa"/>
            <w:vAlign w:val="bottom"/>
            <w:vMerge w:val="restart"/>
          </w:tcPr>
          <w:p>
            <w:pPr>
              <w:ind w:left="5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19"/>
                <w:szCs w:val="19"/>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Benefit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Disability</w:t>
            </w:r>
          </w:p>
        </w:tc>
        <w:tc>
          <w:tcPr>
            <w:tcW w:w="120" w:type="dxa"/>
            <w:vAlign w:val="bottom"/>
          </w:tcPr>
          <w:p>
            <w:pPr>
              <w:spacing w:after="0"/>
              <w:rPr>
                <w:sz w:val="19"/>
                <w:szCs w:val="19"/>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Resignation</w:t>
            </w:r>
          </w:p>
        </w:tc>
        <w:tc>
          <w:tcPr>
            <w:tcW w:w="100" w:type="dxa"/>
            <w:vAlign w:val="bottom"/>
          </w:tcPr>
          <w:p>
            <w:pPr>
              <w:spacing w:after="0"/>
              <w:rPr>
                <w:sz w:val="19"/>
                <w:szCs w:val="19"/>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for Cause</w:t>
            </w:r>
          </w:p>
        </w:tc>
        <w:tc>
          <w:tcPr>
            <w:tcW w:w="100" w:type="dxa"/>
            <w:vAlign w:val="bottom"/>
          </w:tcPr>
          <w:p>
            <w:pPr>
              <w:spacing w:after="0"/>
              <w:rPr>
                <w:sz w:val="19"/>
                <w:szCs w:val="19"/>
                <w:color w:val="auto"/>
              </w:rPr>
            </w:pPr>
          </w:p>
        </w:tc>
        <w:tc>
          <w:tcPr>
            <w:tcW w:w="1600" w:type="dxa"/>
            <w:vAlign w:val="bottom"/>
            <w:gridSpan w:val="2"/>
          </w:tcPr>
          <w:p>
            <w:pPr>
              <w:jc w:val="center"/>
              <w:ind w:right="345"/>
              <w:spacing w:after="0"/>
              <w:rPr>
                <w:sz w:val="20"/>
                <w:szCs w:val="20"/>
                <w:color w:val="auto"/>
              </w:rPr>
            </w:pPr>
            <w:r>
              <w:rPr>
                <w:rFonts w:ascii="Times New Roman" w:cs="Times New Roman" w:eastAsia="Times New Roman" w:hAnsi="Times New Roman"/>
                <w:sz w:val="18"/>
                <w:szCs w:val="18"/>
                <w:b w:val="1"/>
                <w:bCs w:val="1"/>
                <w:color w:val="auto"/>
                <w:w w:val="98"/>
              </w:rPr>
              <w:t>in Control</w:t>
            </w:r>
          </w:p>
        </w:tc>
        <w:tc>
          <w:tcPr>
            <w:tcW w:w="200" w:type="dxa"/>
            <w:vAlign w:val="bottom"/>
          </w:tcPr>
          <w:p>
            <w:pPr>
              <w:spacing w:after="0"/>
              <w:rPr>
                <w:sz w:val="19"/>
                <w:szCs w:val="19"/>
                <w:color w:val="auto"/>
              </w:rPr>
            </w:pPr>
          </w:p>
        </w:tc>
        <w:tc>
          <w:tcPr>
            <w:tcW w:w="178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Control</w:t>
            </w:r>
          </w:p>
        </w:tc>
        <w:tc>
          <w:tcPr>
            <w:tcW w:w="0" w:type="dxa"/>
            <w:vAlign w:val="bottom"/>
          </w:tcPr>
          <w:p>
            <w:pPr>
              <w:spacing w:after="0"/>
              <w:rPr>
                <w:sz w:val="1"/>
                <w:szCs w:val="1"/>
                <w:color w:val="auto"/>
              </w:rPr>
            </w:pPr>
          </w:p>
        </w:tc>
      </w:tr>
      <w:tr>
        <w:trPr>
          <w:trHeight w:val="221"/>
        </w:trPr>
        <w:tc>
          <w:tcPr>
            <w:tcW w:w="15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(1)</w:t>
            </w: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5"/>
                <w:szCs w:val="15"/>
                <w:b w:val="1"/>
                <w:bCs w:val="1"/>
                <w:color w:val="auto"/>
                <w:w w:val="97"/>
              </w:rPr>
              <w:t>(1)(2)</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5"/>
                <w:szCs w:val="15"/>
                <w:b w:val="1"/>
                <w:bCs w:val="1"/>
                <w:color w:val="auto"/>
              </w:rPr>
              <w:t>(1)</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5"/>
                <w:szCs w:val="15"/>
                <w:b w:val="1"/>
                <w:bCs w:val="1"/>
                <w:color w:val="auto"/>
              </w:rPr>
              <w:t>(1)</w:t>
            </w:r>
          </w:p>
        </w:tc>
        <w:tc>
          <w:tcPr>
            <w:tcW w:w="3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5"/>
                <w:szCs w:val="15"/>
                <w:b w:val="1"/>
                <w:bCs w:val="1"/>
                <w:color w:val="auto"/>
                <w:w w:val="91"/>
              </w:rPr>
              <w:t>(1)</w:t>
            </w: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D. Klein</w:t>
            </w: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jc w:val="center"/>
              <w:spacing w:after="0" w:line="250" w:lineRule="exact"/>
              <w:rPr>
                <w:sz w:val="20"/>
                <w:szCs w:val="20"/>
                <w:color w:val="auto"/>
              </w:rPr>
            </w:pPr>
            <w:r>
              <w:rPr>
                <w:rFonts w:ascii="Times New Roman" w:cs="Times New Roman" w:eastAsia="Times New Roman" w:hAnsi="Times New Roman"/>
                <w:sz w:val="17"/>
                <w:szCs w:val="17"/>
                <w:color w:val="auto"/>
                <w:w w:val="98"/>
              </w:rPr>
              <w:t>Salary</w:t>
            </w:r>
            <w:r>
              <w:rPr>
                <w:rFonts w:ascii="Times New Roman" w:cs="Times New Roman" w:eastAsia="Times New Roman" w:hAnsi="Times New Roman"/>
                <w:sz w:val="28"/>
                <w:szCs w:val="28"/>
                <w:color w:val="auto"/>
                <w:w w:val="98"/>
                <w:vertAlign w:val="superscript"/>
              </w:rPr>
              <w:t>(3)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1,700,000</w:t>
            </w:r>
          </w:p>
        </w:tc>
        <w:tc>
          <w:tcPr>
            <w:tcW w:w="32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w w:val="79"/>
              </w:rPr>
              <w:t>(4)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2,550,000</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w w:val="79"/>
              </w:rPr>
              <w:t>(4)</w:t>
            </w:r>
          </w:p>
        </w:tc>
        <w:tc>
          <w:tcPr>
            <w:tcW w:w="0" w:type="dxa"/>
            <w:vAlign w:val="bottom"/>
          </w:tcPr>
          <w:p>
            <w:pPr>
              <w:spacing w:after="0"/>
              <w:rPr>
                <w:sz w:val="1"/>
                <w:szCs w:val="1"/>
                <w:color w:val="auto"/>
              </w:rPr>
            </w:pPr>
          </w:p>
        </w:tc>
      </w:tr>
      <w:tr>
        <w:trPr>
          <w:trHeight w:val="256"/>
        </w:trPr>
        <w:tc>
          <w:tcPr>
            <w:tcW w:w="15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0" w:type="dxa"/>
            <w:vAlign w:val="bottom"/>
            <w:shd w:val="clear" w:color="auto" w:fill="CCEEFF"/>
          </w:tcPr>
          <w:p>
            <w:pPr>
              <w:jc w:val="center"/>
              <w:spacing w:after="0" w:line="256" w:lineRule="exact"/>
              <w:rPr>
                <w:sz w:val="20"/>
                <w:szCs w:val="20"/>
                <w:color w:val="auto"/>
              </w:rPr>
            </w:pPr>
            <w:r>
              <w:rPr>
                <w:rFonts w:ascii="Times New Roman" w:cs="Times New Roman" w:eastAsia="Times New Roman" w:hAnsi="Times New Roman"/>
                <w:sz w:val="18"/>
                <w:szCs w:val="18"/>
                <w:color w:val="auto"/>
                <w:w w:val="93"/>
              </w:rPr>
              <w:t>Bonus</w:t>
            </w:r>
            <w:r>
              <w:rPr>
                <w:rFonts w:ascii="Times New Roman" w:cs="Times New Roman" w:eastAsia="Times New Roman" w:hAnsi="Times New Roman"/>
                <w:sz w:val="29"/>
                <w:szCs w:val="29"/>
                <w:color w:val="auto"/>
                <w:w w:val="93"/>
                <w:vertAlign w:val="superscript"/>
              </w:rPr>
              <w:t>(5)</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CEEFF"/>
          </w:tcPr>
          <w:p>
            <w:pPr>
              <w:jc w:val="right"/>
              <w:ind w:right="85"/>
              <w:spacing w:after="0" w:line="256" w:lineRule="exact"/>
              <w:rPr>
                <w:sz w:val="20"/>
                <w:szCs w:val="20"/>
                <w:color w:val="auto"/>
              </w:rPr>
            </w:pPr>
            <w:r>
              <w:rPr>
                <w:rFonts w:ascii="Times New Roman" w:cs="Times New Roman" w:eastAsia="Times New Roman" w:hAnsi="Times New Roman"/>
                <w:sz w:val="18"/>
                <w:szCs w:val="18"/>
                <w:color w:val="auto"/>
              </w:rPr>
              <w:t>1,700,000</w:t>
            </w:r>
            <w:r>
              <w:rPr>
                <w:rFonts w:ascii="Times New Roman" w:cs="Times New Roman" w:eastAsia="Times New Roman" w:hAnsi="Times New Roman"/>
                <w:sz w:val="29"/>
                <w:szCs w:val="29"/>
                <w:color w:val="auto"/>
                <w:vertAlign w:val="superscript"/>
              </w:rPr>
              <w:t>(6)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3"/>
            <w:shd w:val="clear" w:color="auto" w:fill="CCEEFF"/>
          </w:tcPr>
          <w:p>
            <w:pPr>
              <w:jc w:val="right"/>
              <w:ind w:right="60"/>
              <w:spacing w:after="0" w:line="256" w:lineRule="exact"/>
              <w:rPr>
                <w:sz w:val="20"/>
                <w:szCs w:val="20"/>
                <w:color w:val="auto"/>
              </w:rPr>
            </w:pPr>
            <w:r>
              <w:rPr>
                <w:rFonts w:ascii="Times New Roman" w:cs="Times New Roman" w:eastAsia="Times New Roman" w:hAnsi="Times New Roman"/>
                <w:sz w:val="18"/>
                <w:szCs w:val="18"/>
                <w:color w:val="auto"/>
              </w:rPr>
              <w:t>2,550,000</w:t>
            </w:r>
            <w:r>
              <w:rPr>
                <w:rFonts w:ascii="Times New Roman" w:cs="Times New Roman" w:eastAsia="Times New Roman" w:hAnsi="Times New Roman"/>
                <w:sz w:val="29"/>
                <w:szCs w:val="29"/>
                <w:color w:val="auto"/>
                <w:vertAlign w:val="superscript"/>
              </w:rPr>
              <w:t>(6)</w:t>
            </w:r>
          </w:p>
        </w:tc>
        <w:tc>
          <w:tcPr>
            <w:tcW w:w="0" w:type="dxa"/>
            <w:vAlign w:val="bottom"/>
          </w:tcPr>
          <w:p>
            <w:pPr>
              <w:spacing w:after="0"/>
              <w:rPr>
                <w:sz w:val="1"/>
                <w:szCs w:val="1"/>
                <w:color w:val="auto"/>
              </w:rPr>
            </w:pPr>
          </w:p>
        </w:tc>
      </w:tr>
      <w:tr>
        <w:trPr>
          <w:trHeight w:val="201"/>
        </w:trPr>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Accelerated Equity</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1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0" w:type="dxa"/>
            <w:vAlign w:val="bottom"/>
            <w:shd w:val="clear" w:color="auto" w:fill="CCEEFF"/>
          </w:tcPr>
          <w:p>
            <w:pPr>
              <w:jc w:val="center"/>
              <w:spacing w:after="0" w:line="271" w:lineRule="exact"/>
              <w:rPr>
                <w:sz w:val="20"/>
                <w:szCs w:val="20"/>
                <w:color w:val="auto"/>
              </w:rPr>
            </w:pPr>
            <w:r>
              <w:rPr>
                <w:rFonts w:ascii="Times New Roman" w:cs="Times New Roman" w:eastAsia="Times New Roman" w:hAnsi="Times New Roman"/>
                <w:sz w:val="18"/>
                <w:szCs w:val="18"/>
                <w:color w:val="auto"/>
                <w:w w:val="93"/>
              </w:rPr>
              <w:t>Award Vesting</w:t>
            </w:r>
            <w:r>
              <w:rPr>
                <w:rFonts w:ascii="Times New Roman" w:cs="Times New Roman" w:eastAsia="Times New Roman" w:hAnsi="Times New Roman"/>
                <w:sz w:val="29"/>
                <w:szCs w:val="29"/>
                <w:color w:val="auto"/>
                <w:w w:val="93"/>
                <w:vertAlign w:val="superscript"/>
              </w:rPr>
              <w:t>(7)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1,364,943</w:t>
            </w:r>
          </w:p>
        </w:tc>
        <w:tc>
          <w:tcPr>
            <w:tcW w:w="12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CEEFF"/>
          </w:tcPr>
          <w:p>
            <w:pPr>
              <w:jc w:val="right"/>
              <w:ind w:right="245"/>
              <w:spacing w:after="0"/>
              <w:rPr>
                <w:sz w:val="20"/>
                <w:szCs w:val="20"/>
                <w:color w:val="auto"/>
              </w:rPr>
            </w:pPr>
            <w:r>
              <w:rPr>
                <w:rFonts w:ascii="Times New Roman" w:cs="Times New Roman" w:eastAsia="Times New Roman" w:hAnsi="Times New Roman"/>
                <w:sz w:val="18"/>
                <w:szCs w:val="18"/>
                <w:color w:val="auto"/>
              </w:rPr>
              <w:t>1,364,943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1,364,943</w:t>
            </w:r>
          </w:p>
        </w:tc>
        <w:tc>
          <w:tcPr>
            <w:tcW w:w="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15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0" w:type="dxa"/>
            <w:vAlign w:val="bottom"/>
            <w:shd w:val="clear" w:color="auto" w:fill="CCEEFF"/>
          </w:tcPr>
          <w:p>
            <w:pPr>
              <w:jc w:val="center"/>
              <w:spacing w:after="0" w:line="256" w:lineRule="exact"/>
              <w:rPr>
                <w:sz w:val="20"/>
                <w:szCs w:val="20"/>
                <w:color w:val="auto"/>
              </w:rPr>
            </w:pPr>
            <w:r>
              <w:rPr>
                <w:rFonts w:ascii="Times New Roman" w:cs="Times New Roman" w:eastAsia="Times New Roman" w:hAnsi="Times New Roman"/>
                <w:sz w:val="18"/>
                <w:szCs w:val="18"/>
                <w:color w:val="auto"/>
                <w:w w:val="91"/>
              </w:rPr>
              <w:t>Other</w:t>
            </w:r>
            <w:r>
              <w:rPr>
                <w:rFonts w:ascii="Times New Roman" w:cs="Times New Roman" w:eastAsia="Times New Roman" w:hAnsi="Times New Roman"/>
                <w:sz w:val="29"/>
                <w:szCs w:val="29"/>
                <w:color w:val="auto"/>
                <w:w w:val="91"/>
                <w:vertAlign w:val="superscript"/>
              </w:rPr>
              <w:t>(8)</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CEEFF"/>
          </w:tcPr>
          <w:p>
            <w:pPr>
              <w:jc w:val="right"/>
              <w:ind w:right="245"/>
              <w:spacing w:after="0"/>
              <w:rPr>
                <w:sz w:val="20"/>
                <w:szCs w:val="20"/>
                <w:color w:val="auto"/>
              </w:rPr>
            </w:pPr>
            <w:r>
              <w:rPr>
                <w:rFonts w:ascii="Times New Roman" w:cs="Times New Roman" w:eastAsia="Times New Roman" w:hAnsi="Times New Roman"/>
                <w:sz w:val="18"/>
                <w:szCs w:val="18"/>
                <w:color w:val="auto"/>
              </w:rPr>
              <w:t>54,000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54,000</w:t>
            </w:r>
          </w:p>
        </w:tc>
        <w:tc>
          <w:tcPr>
            <w:tcW w:w="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15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1,364,943</w:t>
            </w:r>
          </w:p>
        </w:tc>
        <w:tc>
          <w:tcPr>
            <w:tcW w:w="2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4,818,943</w:t>
            </w:r>
          </w:p>
        </w:tc>
        <w:tc>
          <w:tcPr>
            <w:tcW w:w="3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6,518,943</w:t>
            </w: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Allison Green</w:t>
            </w:r>
          </w:p>
        </w:tc>
        <w:tc>
          <w:tcPr>
            <w:tcW w:w="120" w:type="dxa"/>
            <w:vAlign w:val="bottom"/>
          </w:tcPr>
          <w:p>
            <w:pPr>
              <w:spacing w:after="0"/>
              <w:rPr>
                <w:sz w:val="21"/>
                <w:szCs w:val="21"/>
                <w:color w:val="auto"/>
              </w:rPr>
            </w:pPr>
          </w:p>
        </w:tc>
        <w:tc>
          <w:tcPr>
            <w:tcW w:w="1400" w:type="dxa"/>
            <w:vAlign w:val="bottom"/>
          </w:tcPr>
          <w:p>
            <w:pPr>
              <w:jc w:val="center"/>
              <w:spacing w:after="0" w:line="242" w:lineRule="exact"/>
              <w:rPr>
                <w:sz w:val="20"/>
                <w:szCs w:val="20"/>
                <w:color w:val="auto"/>
              </w:rPr>
            </w:pPr>
            <w:r>
              <w:rPr>
                <w:rFonts w:ascii="Times New Roman" w:cs="Times New Roman" w:eastAsia="Times New Roman" w:hAnsi="Times New Roman"/>
                <w:sz w:val="17"/>
                <w:szCs w:val="17"/>
                <w:color w:val="auto"/>
                <w:w w:val="98"/>
              </w:rPr>
              <w:t>Salary</w:t>
            </w:r>
            <w:r>
              <w:rPr>
                <w:rFonts w:ascii="Times New Roman" w:cs="Times New Roman" w:eastAsia="Times New Roman" w:hAnsi="Times New Roman"/>
                <w:sz w:val="28"/>
                <w:szCs w:val="28"/>
                <w:color w:val="auto"/>
                <w:w w:val="98"/>
                <w:vertAlign w:val="superscript"/>
              </w:rPr>
              <w:t>(3)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tcPr>
          <w:p>
            <w:pPr>
              <w:jc w:val="right"/>
              <w:ind w:right="85"/>
              <w:spacing w:after="0" w:line="242" w:lineRule="exact"/>
              <w:rPr>
                <w:sz w:val="20"/>
                <w:szCs w:val="20"/>
                <w:color w:val="auto"/>
              </w:rPr>
            </w:pPr>
            <w:r>
              <w:rPr>
                <w:rFonts w:ascii="Times New Roman" w:cs="Times New Roman" w:eastAsia="Times New Roman" w:hAnsi="Times New Roman"/>
                <w:sz w:val="17"/>
                <w:szCs w:val="17"/>
                <w:color w:val="auto"/>
              </w:rPr>
              <w:t>500,000</w:t>
            </w:r>
            <w:r>
              <w:rPr>
                <w:rFonts w:ascii="Times New Roman" w:cs="Times New Roman" w:eastAsia="Times New Roman" w:hAnsi="Times New Roman"/>
                <w:sz w:val="28"/>
                <w:szCs w:val="28"/>
                <w:color w:val="auto"/>
                <w:vertAlign w:val="superscript"/>
              </w:rPr>
              <w:t>(4)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3"/>
          </w:tcPr>
          <w:p>
            <w:pPr>
              <w:jc w:val="right"/>
              <w:ind w:right="60"/>
              <w:spacing w:after="0" w:line="242" w:lineRule="exact"/>
              <w:rPr>
                <w:sz w:val="20"/>
                <w:szCs w:val="20"/>
                <w:color w:val="auto"/>
              </w:rPr>
            </w:pPr>
            <w:r>
              <w:rPr>
                <w:rFonts w:ascii="Times New Roman" w:cs="Times New Roman" w:eastAsia="Times New Roman" w:hAnsi="Times New Roman"/>
                <w:sz w:val="17"/>
                <w:szCs w:val="17"/>
                <w:color w:val="auto"/>
              </w:rPr>
              <w:t>1,000,000</w:t>
            </w:r>
            <w:r>
              <w:rPr>
                <w:rFonts w:ascii="Times New Roman" w:cs="Times New Roman" w:eastAsia="Times New Roman" w:hAnsi="Times New Roman"/>
                <w:sz w:val="28"/>
                <w:szCs w:val="28"/>
                <w:color w:val="auto"/>
                <w:vertAlign w:val="superscript"/>
              </w:rPr>
              <w:t>(4)</w:t>
            </w:r>
          </w:p>
        </w:tc>
        <w:tc>
          <w:tcPr>
            <w:tcW w:w="0" w:type="dxa"/>
            <w:vAlign w:val="bottom"/>
          </w:tcPr>
          <w:p>
            <w:pPr>
              <w:spacing w:after="0"/>
              <w:rPr>
                <w:sz w:val="1"/>
                <w:szCs w:val="1"/>
                <w:color w:val="auto"/>
              </w:rPr>
            </w:pPr>
          </w:p>
        </w:tc>
      </w:tr>
      <w:tr>
        <w:trPr>
          <w:trHeight w:val="253"/>
        </w:trPr>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jc w:val="center"/>
              <w:spacing w:after="0" w:line="252" w:lineRule="exact"/>
              <w:rPr>
                <w:sz w:val="20"/>
                <w:szCs w:val="20"/>
                <w:color w:val="auto"/>
              </w:rPr>
            </w:pPr>
            <w:r>
              <w:rPr>
                <w:rFonts w:ascii="Times New Roman" w:cs="Times New Roman" w:eastAsia="Times New Roman" w:hAnsi="Times New Roman"/>
                <w:sz w:val="18"/>
                <w:szCs w:val="18"/>
                <w:color w:val="auto"/>
                <w:w w:val="93"/>
              </w:rPr>
              <w:t>Bonus</w:t>
            </w:r>
            <w:r>
              <w:rPr>
                <w:rFonts w:ascii="Times New Roman" w:cs="Times New Roman" w:eastAsia="Times New Roman" w:hAnsi="Times New Roman"/>
                <w:sz w:val="29"/>
                <w:szCs w:val="29"/>
                <w:color w:val="auto"/>
                <w:w w:val="93"/>
                <w:vertAlign w:val="superscript"/>
              </w:rPr>
              <w:t>(5)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3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tcPr>
          <w:p>
            <w:pPr>
              <w:jc w:val="right"/>
              <w:ind w:right="85"/>
              <w:spacing w:after="0" w:line="252" w:lineRule="exact"/>
              <w:rPr>
                <w:sz w:val="20"/>
                <w:szCs w:val="20"/>
                <w:color w:val="auto"/>
              </w:rPr>
            </w:pPr>
            <w:r>
              <w:rPr>
                <w:rFonts w:ascii="Times New Roman" w:cs="Times New Roman" w:eastAsia="Times New Roman" w:hAnsi="Times New Roman"/>
                <w:sz w:val="18"/>
                <w:szCs w:val="18"/>
                <w:color w:val="auto"/>
              </w:rPr>
              <w:t>500,000</w:t>
            </w:r>
            <w:r>
              <w:rPr>
                <w:rFonts w:ascii="Times New Roman" w:cs="Times New Roman" w:eastAsia="Times New Roman" w:hAnsi="Times New Roman"/>
                <w:sz w:val="29"/>
                <w:szCs w:val="29"/>
                <w:color w:val="auto"/>
                <w:vertAlign w:val="superscript"/>
              </w:rPr>
              <w:t>(6)</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3"/>
          </w:tcPr>
          <w:p>
            <w:pPr>
              <w:jc w:val="right"/>
              <w:ind w:right="60"/>
              <w:spacing w:after="0" w:line="252" w:lineRule="exact"/>
              <w:rPr>
                <w:sz w:val="20"/>
                <w:szCs w:val="20"/>
                <w:color w:val="auto"/>
              </w:rPr>
            </w:pPr>
            <w:r>
              <w:rPr>
                <w:rFonts w:ascii="Times New Roman" w:cs="Times New Roman" w:eastAsia="Times New Roman" w:hAnsi="Times New Roman"/>
                <w:sz w:val="18"/>
                <w:szCs w:val="18"/>
                <w:color w:val="auto"/>
              </w:rPr>
              <w:t>1,000,000</w:t>
            </w:r>
            <w:r>
              <w:rPr>
                <w:rFonts w:ascii="Times New Roman" w:cs="Times New Roman" w:eastAsia="Times New Roman" w:hAnsi="Times New Roman"/>
                <w:sz w:val="29"/>
                <w:szCs w:val="29"/>
                <w:color w:val="auto"/>
                <w:vertAlign w:val="superscript"/>
              </w:rPr>
              <w:t>(6)</w:t>
            </w:r>
          </w:p>
        </w:tc>
        <w:tc>
          <w:tcPr>
            <w:tcW w:w="0" w:type="dxa"/>
            <w:vAlign w:val="bottom"/>
          </w:tcPr>
          <w:p>
            <w:pPr>
              <w:spacing w:after="0"/>
              <w:rPr>
                <w:sz w:val="1"/>
                <w:szCs w:val="1"/>
                <w:color w:val="auto"/>
              </w:rPr>
            </w:pPr>
          </w:p>
        </w:tc>
      </w:tr>
      <w:tr>
        <w:trPr>
          <w:trHeight w:val="220"/>
        </w:trPr>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Accelerated Equity</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color w:val="auto"/>
                <w:w w:val="93"/>
              </w:rPr>
              <w:t>Award Vesting</w:t>
            </w:r>
            <w:r>
              <w:rPr>
                <w:rFonts w:ascii="Times New Roman" w:cs="Times New Roman" w:eastAsia="Times New Roman" w:hAnsi="Times New Roman"/>
                <w:sz w:val="29"/>
                <w:szCs w:val="29"/>
                <w:color w:val="auto"/>
                <w:w w:val="93"/>
                <w:vertAlign w:val="superscript"/>
              </w:rPr>
              <w:t>(7)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342,914</w:t>
            </w:r>
          </w:p>
        </w:tc>
        <w:tc>
          <w:tcPr>
            <w:tcW w:w="120" w:type="dxa"/>
            <w:vAlign w:val="bottom"/>
          </w:tcPr>
          <w:p>
            <w:pPr>
              <w:spacing w:after="0"/>
              <w:rPr>
                <w:sz w:val="22"/>
                <w:szCs w:val="22"/>
                <w:color w:val="auto"/>
              </w:rPr>
            </w:pP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3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tcPr>
          <w:p>
            <w:pPr>
              <w:jc w:val="right"/>
              <w:ind w:right="245"/>
              <w:spacing w:after="0"/>
              <w:rPr>
                <w:sz w:val="20"/>
                <w:szCs w:val="20"/>
                <w:color w:val="auto"/>
              </w:rPr>
            </w:pPr>
            <w:r>
              <w:rPr>
                <w:rFonts w:ascii="Times New Roman" w:cs="Times New Roman" w:eastAsia="Times New Roman" w:hAnsi="Times New Roman"/>
                <w:sz w:val="18"/>
                <w:szCs w:val="18"/>
                <w:color w:val="auto"/>
              </w:rPr>
              <w:t>342,914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342,914</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1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0" w:type="dxa"/>
            <w:vAlign w:val="bottom"/>
          </w:tcPr>
          <w:p>
            <w:pPr>
              <w:jc w:val="center"/>
              <w:spacing w:after="0" w:line="271" w:lineRule="exact"/>
              <w:rPr>
                <w:sz w:val="20"/>
                <w:szCs w:val="20"/>
                <w:color w:val="auto"/>
              </w:rPr>
            </w:pPr>
            <w:r>
              <w:rPr>
                <w:rFonts w:ascii="Times New Roman" w:cs="Times New Roman" w:eastAsia="Times New Roman" w:hAnsi="Times New Roman"/>
                <w:sz w:val="18"/>
                <w:szCs w:val="18"/>
                <w:color w:val="auto"/>
                <w:w w:val="91"/>
              </w:rPr>
              <w:t>Other</w:t>
            </w:r>
            <w:r>
              <w:rPr>
                <w:rFonts w:ascii="Times New Roman" w:cs="Times New Roman" w:eastAsia="Times New Roman" w:hAnsi="Times New Roman"/>
                <w:sz w:val="29"/>
                <w:szCs w:val="29"/>
                <w:color w:val="auto"/>
                <w:w w:val="91"/>
                <w:vertAlign w:val="superscript"/>
              </w:rPr>
              <w:t>(8)</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3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tcPr>
          <w:p>
            <w:pPr>
              <w:jc w:val="right"/>
              <w:ind w:right="245"/>
              <w:spacing w:after="0"/>
              <w:rPr>
                <w:sz w:val="20"/>
                <w:szCs w:val="20"/>
                <w:color w:val="auto"/>
              </w:rPr>
            </w:pPr>
            <w:r>
              <w:rPr>
                <w:rFonts w:ascii="Times New Roman" w:cs="Times New Roman" w:eastAsia="Times New Roman" w:hAnsi="Times New Roman"/>
                <w:sz w:val="18"/>
                <w:szCs w:val="18"/>
                <w:color w:val="auto"/>
              </w:rPr>
              <w:t>36,000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36,000</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2"/>
        </w:trPr>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0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342,914</w:t>
            </w:r>
          </w:p>
        </w:tc>
        <w:tc>
          <w:tcPr>
            <w:tcW w:w="2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tcBorders>
          </w:tcPr>
          <w:p>
            <w:pPr>
              <w:ind w:left="9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top w:val="single" w:sz="8" w:color="auto"/>
            </w:tcBorders>
          </w:tcPr>
          <w:p>
            <w:pPr>
              <w:ind w:left="9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1,378,914</w:t>
            </w:r>
          </w:p>
        </w:tc>
        <w:tc>
          <w:tcPr>
            <w:tcW w:w="3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2,378,914</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17830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90" w:lineRule="exact"/>
        <w:rPr>
          <w:sz w:val="20"/>
          <w:szCs w:val="20"/>
          <w:color w:val="auto"/>
        </w:rPr>
      </w:pPr>
    </w:p>
    <w:p>
      <w:pPr>
        <w:ind w:left="340" w:right="20" w:hanging="332"/>
        <w:spacing w:after="0" w:line="282"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compensation and benefits Mr. Klein and Ms. Green would be entitled to receive pursuant to their respective Second Amended Employment Agreements. See “Employment Agreements” for additional information.</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resignation by the NEO other than for good reason (as such terms are defined in the applicable Second Amended Employment Agreement).</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Amended Employment Agreements provide for payment of any earned but unpaid base salary if employment terminated for any reason. Assumes no earned but unpaid base salary, as calculations are based on full fiscal year of employment.</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calculated based on 2024 base salary and applicable multiplier pursuant to NEO’s Second Amended Employment Agreement.</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Amended Employment Agreements provide for payment of (i) any unpaid annual bonuses and (ii) pro-rated portion of annual bonuses for then-current fiscal year based on number of days employed during the year of termination. NEOs terminated for cause (as such term is defined in the applicable Second Amended Employment Agreement) or that voluntarily resign forfeit any unpaid bonuses and are not entitled to receive pro-rated bonuses. Assumes no unpaid annual bonuses and pro-rated portion of annual bonuses as calculations are based on full fiscal year of employment.</w:t>
      </w:r>
    </w:p>
    <w:p>
      <w:pPr>
        <w:spacing w:after="0" w:line="179"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 amount calculated based on actual amount of annual bonus for preceding fiscal year, multiplied by the applicable multiplier pursuant to NEO’s Second Amended Employment Agreement. See “Employment Agreements.”</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termination as a result of death or disability, without cause or for good reason (as such terms are defined in the applicable Second Amended Employment Agreement), any unvested portion of any equity awards held by the NEO immediately vest in full and become exercisable and free from forfeiture or repurchase, as applicable, as of the effective date of any such event of employment termination. If the NEO’s employment is terminated for any other reason, including for cause (as such term is defined in the applicable Second Amended Employment Agreement), any unvested portion of any equity awards held by the NEO are forfeited immediately as of the effective date of any such event of employment termination. If a change in control occurs and any equity awards are not assumed or substituted by the successor entity, assumes such equity awards immediately vest and become exercisable. Such amounts may not correspond to the actual value that will be recognized by the NEOs upon vesting. The amounts provided here include the value of all unvested shares and cash and restricted stock dividends paid thereon based on the closing price of our common stock on the Nasdaq Global Select Market as of December 31, 2024.</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9" w:name="page40"/>
    <w:bookmarkEnd w:id="39"/>
    <w:p>
      <w:pPr>
        <w:jc w:val="both"/>
        <w:ind w:left="340" w:hanging="332"/>
        <w:spacing w:after="0" w:line="266"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termination without cause and voluntary resignation, this row also includes reimbursement of the full amount of COBRA premiums for the NEOs and his or her eligible dependents for 18 months for Mr. Klein and 12 months for Ms. Green following termination of employment, estimated at $3,000 per month for each of Mr. Klein and Ms. Green,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Chief Executive Officer Pay Ratio</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2024, our last completed fiscal year, the median of the annual total compensation of all of our employees (other than Mr. Klein, our Chief Executive Officer (our “CEO”)) was $526,791, and the annual total compensation of our CEO, as reported in the Summary Compensation Table, was $3,164,407. Based on this information, our CEO’s 2024 annual total compensation was approximately 6.0 times that of the median of the 2024 annual total compensation of all of our employees.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selected December 31, 2024 as the date used to identify our “median employee” whose annual total compensation was the median of the annual total compensation of all our employees (other than our CEO) for 2024. As of December 31, 2024, our employee population consisted of ten individuals, all based in the United States, including at our headquarters in New York, New York and our additional office in San Francisco, California. We compared the annual total compensation for our employee population in accordance with the requirements of Item 402(e)(2)(x) of Regulation S-K, which included salary, bonus, restricted stock awards (including cash and restricted stock dividends thereon), employer-funded costs of medical, dental, and vision health plan premiums and other insurance plan premiums, and employer matching contributions to employee accounts in our 401(k) plan.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following table shows the total compensation for our NEOs for the past five fiscal years as set forth in the Summary Compensation Table, the “compensation actually paid” to our principal executive officer (“PEO”) and non-PEO NEO (in each case, as determined under SEC rules), our total shareholder return (or “TSR”), the total shareholder return of the Nasdaq Stock Index over the same period, our Net Increase/(Decrease) in Net Assets Resulting from Operations, and our financial performance measure for compensatory purposes, net asset value (“NAV”) per share of our common stock (“Share”).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6"/>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Value of Initial Fixed $100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gridSpan w:val="6"/>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Investment Based On:</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Net Increase/</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Summary</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Nasdaq</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(Decrease) in</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Summary</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Stock Index</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5"/>
              </w:rPr>
              <w:t>Table Total for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Actually Paid</w:t>
            </w:r>
          </w:p>
        </w:tc>
        <w:tc>
          <w:tcPr>
            <w:tcW w:w="12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Resulting</w:t>
            </w:r>
          </w:p>
        </w:tc>
        <w:tc>
          <w:tcPr>
            <w:tcW w:w="80" w:type="dxa"/>
            <w:vAlign w:val="bottom"/>
          </w:tcPr>
          <w:p>
            <w:pPr>
              <w:spacing w:after="0"/>
              <w:rPr>
                <w:sz w:val="18"/>
                <w:szCs w:val="18"/>
                <w:color w:val="auto"/>
              </w:rPr>
            </w:pPr>
          </w:p>
        </w:tc>
        <w:tc>
          <w:tcPr>
            <w:tcW w:w="5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NAV</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Table Total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Actually Paid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Non-PEO</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to Non-PEO</w:t>
            </w:r>
          </w:p>
        </w:tc>
        <w:tc>
          <w:tcPr>
            <w:tcW w:w="11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Shareholder</w:t>
            </w:r>
          </w:p>
        </w:tc>
        <w:tc>
          <w:tcPr>
            <w:tcW w:w="100" w:type="dxa"/>
            <w:vAlign w:val="bottom"/>
          </w:tcPr>
          <w:p>
            <w:pPr>
              <w:spacing w:after="0"/>
              <w:rPr>
                <w:sz w:val="18"/>
                <w:szCs w:val="18"/>
                <w:color w:val="auto"/>
              </w:rPr>
            </w:pPr>
          </w:p>
        </w:tc>
        <w:tc>
          <w:tcPr>
            <w:tcW w:w="11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Shareholder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from</w:t>
            </w:r>
          </w:p>
        </w:tc>
        <w:tc>
          <w:tcPr>
            <w:tcW w:w="80" w:type="dxa"/>
            <w:vAlign w:val="bottom"/>
          </w:tcPr>
          <w:p>
            <w:pPr>
              <w:spacing w:after="0"/>
              <w:rPr>
                <w:sz w:val="18"/>
                <w:szCs w:val="18"/>
                <w:color w:val="auto"/>
              </w:rPr>
            </w:pPr>
          </w:p>
        </w:tc>
        <w:tc>
          <w:tcPr>
            <w:tcW w:w="5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per</w:t>
            </w:r>
          </w:p>
        </w:tc>
        <w:tc>
          <w:tcPr>
            <w:tcW w:w="0" w:type="dxa"/>
            <w:vAlign w:val="bottom"/>
          </w:tcPr>
          <w:p>
            <w:pPr>
              <w:spacing w:after="0"/>
              <w:rPr>
                <w:sz w:val="1"/>
                <w:szCs w:val="1"/>
                <w:color w:val="auto"/>
              </w:rPr>
            </w:pPr>
          </w:p>
        </w:tc>
      </w:tr>
      <w:tr>
        <w:trPr>
          <w:trHeight w:val="270"/>
        </w:trPr>
        <w:tc>
          <w:tcPr>
            <w:tcW w:w="5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40" w:type="dxa"/>
            <w:vAlign w:val="bottom"/>
          </w:tcPr>
          <w:p>
            <w:pPr>
              <w:spacing w:after="0"/>
              <w:rPr>
                <w:sz w:val="23"/>
                <w:szCs w:val="23"/>
                <w:color w:val="auto"/>
              </w:rPr>
            </w:pPr>
          </w:p>
        </w:tc>
        <w:tc>
          <w:tcPr>
            <w:tcW w:w="1240" w:type="dxa"/>
            <w:vAlign w:val="bottom"/>
            <w:gridSpan w:val="2"/>
          </w:tcPr>
          <w:p>
            <w:pPr>
              <w:jc w:val="center"/>
              <w:ind w:right="260"/>
              <w:spacing w:after="0" w:line="270" w:lineRule="exact"/>
              <w:rPr>
                <w:sz w:val="20"/>
                <w:szCs w:val="20"/>
                <w:color w:val="auto"/>
              </w:rPr>
            </w:pPr>
            <w:r>
              <w:rPr>
                <w:rFonts w:ascii="Times New Roman" w:cs="Times New Roman" w:eastAsia="Times New Roman" w:hAnsi="Times New Roman"/>
                <w:sz w:val="18"/>
                <w:szCs w:val="18"/>
                <w:b w:val="1"/>
                <w:bCs w:val="1"/>
                <w:color w:val="auto"/>
                <w:w w:val="94"/>
              </w:rPr>
              <w:t>for PEO</w:t>
            </w:r>
            <w:r>
              <w:rPr>
                <w:rFonts w:ascii="Times New Roman" w:cs="Times New Roman" w:eastAsia="Times New Roman" w:hAnsi="Times New Roman"/>
                <w:sz w:val="29"/>
                <w:szCs w:val="29"/>
                <w:b w:val="1"/>
                <w:bCs w:val="1"/>
                <w:color w:val="auto"/>
                <w:w w:val="94"/>
                <w:vertAlign w:val="superscript"/>
              </w:rPr>
              <w:t>(1)</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gridSpan w:val="2"/>
          </w:tcPr>
          <w:p>
            <w:pPr>
              <w:jc w:val="center"/>
              <w:ind w:right="200"/>
              <w:spacing w:after="0" w:line="270" w:lineRule="exact"/>
              <w:rPr>
                <w:sz w:val="20"/>
                <w:szCs w:val="20"/>
                <w:color w:val="auto"/>
              </w:rPr>
            </w:pPr>
            <w:r>
              <w:rPr>
                <w:rFonts w:ascii="Times New Roman" w:cs="Times New Roman" w:eastAsia="Times New Roman" w:hAnsi="Times New Roman"/>
                <w:sz w:val="18"/>
                <w:szCs w:val="18"/>
                <w:b w:val="1"/>
                <w:bCs w:val="1"/>
                <w:color w:val="auto"/>
                <w:w w:val="93"/>
              </w:rPr>
              <w:t>to PEO</w:t>
            </w:r>
            <w:r>
              <w:rPr>
                <w:rFonts w:ascii="Times New Roman" w:cs="Times New Roman" w:eastAsia="Times New Roman" w:hAnsi="Times New Roman"/>
                <w:sz w:val="29"/>
                <w:szCs w:val="29"/>
                <w:b w:val="1"/>
                <w:bCs w:val="1"/>
                <w:color w:val="auto"/>
                <w:w w:val="93"/>
                <w:vertAlign w:val="superscript"/>
              </w:rPr>
              <w:t>(2)</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gridSpan w:val="2"/>
          </w:tcPr>
          <w:p>
            <w:pPr>
              <w:jc w:val="center"/>
              <w:ind w:right="180"/>
              <w:spacing w:after="0" w:line="270" w:lineRule="exact"/>
              <w:rPr>
                <w:sz w:val="20"/>
                <w:szCs w:val="20"/>
                <w:color w:val="auto"/>
              </w:rPr>
            </w:pPr>
            <w:r>
              <w:rPr>
                <w:rFonts w:ascii="Times New Roman" w:cs="Times New Roman" w:eastAsia="Times New Roman" w:hAnsi="Times New Roman"/>
                <w:sz w:val="18"/>
                <w:szCs w:val="18"/>
                <w:b w:val="1"/>
                <w:bCs w:val="1"/>
                <w:color w:val="auto"/>
                <w:w w:val="93"/>
              </w:rPr>
              <w:t>NEOs</w:t>
            </w:r>
            <w:r>
              <w:rPr>
                <w:rFonts w:ascii="Times New Roman" w:cs="Times New Roman" w:eastAsia="Times New Roman" w:hAnsi="Times New Roman"/>
                <w:sz w:val="29"/>
                <w:szCs w:val="29"/>
                <w:b w:val="1"/>
                <w:bCs w:val="1"/>
                <w:color w:val="auto"/>
                <w:w w:val="93"/>
                <w:vertAlign w:val="superscript"/>
              </w:rPr>
              <w:t>(3)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gridSpan w:val="2"/>
          </w:tcPr>
          <w:p>
            <w:pPr>
              <w:jc w:val="center"/>
              <w:ind w:right="300"/>
              <w:spacing w:after="0" w:line="269" w:lineRule="exact"/>
              <w:rPr>
                <w:sz w:val="20"/>
                <w:szCs w:val="20"/>
                <w:color w:val="auto"/>
              </w:rPr>
            </w:pPr>
            <w:r>
              <w:rPr>
                <w:rFonts w:ascii="Times New Roman" w:cs="Times New Roman" w:eastAsia="Times New Roman" w:hAnsi="Times New Roman"/>
                <w:sz w:val="31"/>
                <w:szCs w:val="31"/>
                <w:b w:val="1"/>
                <w:bCs w:val="1"/>
                <w:color w:val="auto"/>
                <w:w w:val="95"/>
                <w:vertAlign w:val="subscript"/>
              </w:rPr>
              <w:t>NEOs</w:t>
            </w:r>
            <w:r>
              <w:rPr>
                <w:rFonts w:ascii="Times New Roman" w:cs="Times New Roman" w:eastAsia="Times New Roman" w:hAnsi="Times New Roman"/>
                <w:sz w:val="14"/>
                <w:szCs w:val="14"/>
                <w:b w:val="1"/>
                <w:bCs w:val="1"/>
                <w:color w:val="auto"/>
                <w:w w:val="95"/>
              </w:rPr>
              <w:t>(2)(3)</w:t>
            </w:r>
          </w:p>
        </w:tc>
        <w:tc>
          <w:tcPr>
            <w:tcW w:w="120" w:type="dxa"/>
            <w:vAlign w:val="bottom"/>
          </w:tcPr>
          <w:p>
            <w:pPr>
              <w:spacing w:after="0"/>
              <w:rPr>
                <w:sz w:val="23"/>
                <w:szCs w:val="23"/>
                <w:color w:val="auto"/>
              </w:rPr>
            </w:pPr>
          </w:p>
        </w:tc>
        <w:tc>
          <w:tcPr>
            <w:tcW w:w="1040" w:type="dxa"/>
            <w:vAlign w:val="bottom"/>
            <w:gridSpan w:val="2"/>
          </w:tcPr>
          <w:p>
            <w:pPr>
              <w:jc w:val="center"/>
              <w:ind w:right="220"/>
              <w:spacing w:after="0" w:line="270" w:lineRule="exact"/>
              <w:rPr>
                <w:sz w:val="20"/>
                <w:szCs w:val="20"/>
                <w:color w:val="auto"/>
              </w:rPr>
            </w:pPr>
            <w:r>
              <w:rPr>
                <w:rFonts w:ascii="Times New Roman" w:cs="Times New Roman" w:eastAsia="Times New Roman" w:hAnsi="Times New Roman"/>
                <w:sz w:val="18"/>
                <w:szCs w:val="18"/>
                <w:b w:val="1"/>
                <w:bCs w:val="1"/>
                <w:color w:val="auto"/>
                <w:w w:val="95"/>
              </w:rPr>
              <w:t>Return</w:t>
            </w:r>
            <w:r>
              <w:rPr>
                <w:rFonts w:ascii="Times New Roman" w:cs="Times New Roman" w:eastAsia="Times New Roman" w:hAnsi="Times New Roman"/>
                <w:sz w:val="29"/>
                <w:szCs w:val="29"/>
                <w:b w:val="1"/>
                <w:bCs w:val="1"/>
                <w:color w:val="auto"/>
                <w:w w:val="95"/>
                <w:vertAlign w:val="superscript"/>
              </w:rPr>
              <w:t>(4)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Return</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jc w:val="center"/>
              <w:ind w:right="300"/>
              <w:spacing w:after="0" w:line="270" w:lineRule="exact"/>
              <w:rPr>
                <w:sz w:val="20"/>
                <w:szCs w:val="20"/>
                <w:color w:val="auto"/>
              </w:rPr>
            </w:pPr>
            <w:r>
              <w:rPr>
                <w:rFonts w:ascii="Times New Roman" w:cs="Times New Roman" w:eastAsia="Times New Roman" w:hAnsi="Times New Roman"/>
                <w:sz w:val="18"/>
                <w:szCs w:val="18"/>
                <w:b w:val="1"/>
                <w:bCs w:val="1"/>
                <w:color w:val="auto"/>
                <w:w w:val="95"/>
              </w:rPr>
              <w:t>Operations</w:t>
            </w:r>
            <w:r>
              <w:rPr>
                <w:rFonts w:ascii="Times New Roman" w:cs="Times New Roman" w:eastAsia="Times New Roman" w:hAnsi="Times New Roman"/>
                <w:sz w:val="29"/>
                <w:szCs w:val="29"/>
                <w:b w:val="1"/>
                <w:bCs w:val="1"/>
                <w:color w:val="auto"/>
                <w:w w:val="95"/>
                <w:vertAlign w:val="superscript"/>
              </w:rPr>
              <w:t>(5)</w:t>
            </w:r>
          </w:p>
        </w:tc>
        <w:tc>
          <w:tcPr>
            <w:tcW w:w="6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0" w:type="dxa"/>
            <w:vAlign w:val="bottom"/>
          </w:tcPr>
          <w:p>
            <w:pPr>
              <w:spacing w:after="0"/>
              <w:rPr>
                <w:sz w:val="1"/>
                <w:szCs w:val="1"/>
                <w:color w:val="auto"/>
              </w:rPr>
            </w:pPr>
          </w:p>
        </w:tc>
      </w:tr>
      <w:tr>
        <w:trPr>
          <w:trHeight w:val="210"/>
        </w:trPr>
        <w:tc>
          <w:tcPr>
            <w:tcW w:w="4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3,164,407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3,497,486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1,287,098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1,349,183</w:t>
            </w:r>
          </w:p>
        </w:tc>
        <w:tc>
          <w:tcPr>
            <w:tcW w:w="2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171.82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(38,124,247)</w:t>
            </w:r>
          </w:p>
        </w:tc>
        <w:tc>
          <w:tcPr>
            <w:tcW w:w="2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2,976,409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3,000,039</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1,232,474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1,231,442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115.13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167.30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5,066,822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7.99</w:t>
            </w:r>
          </w:p>
        </w:tc>
        <w:tc>
          <w:tcPr>
            <w:tcW w:w="0" w:type="dxa"/>
            <w:vAlign w:val="bottom"/>
          </w:tcPr>
          <w:p>
            <w:pPr>
              <w:spacing w:after="0"/>
              <w:rPr>
                <w:sz w:val="1"/>
                <w:szCs w:val="1"/>
                <w:color w:val="auto"/>
              </w:rPr>
            </w:pPr>
          </w:p>
        </w:tc>
      </w:tr>
      <w:tr>
        <w:trPr>
          <w:trHeight w:val="216"/>
        </w:trPr>
        <w:tc>
          <w:tcPr>
            <w:tcW w:w="4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4,353,439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643,964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1,518,079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935,248</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111.04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116.65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(132,177,053)</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7.39</w:t>
            </w: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7,546,084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7,363,821</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1,625,652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1,570,025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373.93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174.36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147,071,721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11.72</w:t>
            </w:r>
          </w:p>
        </w:tc>
        <w:tc>
          <w:tcPr>
            <w:tcW w:w="0" w:type="dxa"/>
            <w:vAlign w:val="bottom"/>
          </w:tcPr>
          <w:p>
            <w:pPr>
              <w:spacing w:after="0"/>
              <w:rPr>
                <w:sz w:val="1"/>
                <w:szCs w:val="1"/>
                <w:color w:val="auto"/>
              </w:rPr>
            </w:pPr>
          </w:p>
        </w:tc>
      </w:tr>
      <w:tr>
        <w:trPr>
          <w:trHeight w:val="238"/>
        </w:trPr>
        <w:tc>
          <w:tcPr>
            <w:tcW w:w="4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4,000,425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1,740,203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1,206,467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790,110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216.63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143.64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75,337,438</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17830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90" w:lineRule="exact"/>
        <w:rPr>
          <w:sz w:val="20"/>
          <w:szCs w:val="20"/>
          <w:color w:val="auto"/>
        </w:rPr>
      </w:pPr>
    </w:p>
    <w:p>
      <w:pPr>
        <w:ind w:left="340" w:hanging="332"/>
        <w:spacing w:after="0"/>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Klein was the sole PEO for each of 2024, 2023, 2022, 2021 and 2020.</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actually paid” (“CAP”) is a calculation that begins with the Summary Compensation Table (“SCT”) total compensation in the given year with certain adjustments prescribed by the SEC rules. The following table provides a reconciliation of SCT total compensation (the “SCT Total”) with CAP for 2024, computed through the addition to the SCT Total of the values provided in the columns labeled “SCT Stock Awards,” “Fair Value of Stock Awards Granted in the Covered Year,” “Change in Fair Value of Unvested Stock Awards from Prior Years,” and “Change in Fair Value of Stock Awards that Vested in the Covered Year”: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Fair Value of</w:t>
            </w:r>
          </w:p>
        </w:tc>
        <w:tc>
          <w:tcPr>
            <w:tcW w:w="12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Change in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Change in</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Fair Value of</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Fair Value of</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2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Unvested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Granted in</w:t>
            </w: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Stock Awards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that Vested in</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SCT Stock</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the Covered</w:t>
            </w: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from Prior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the Covered</w:t>
            </w:r>
          </w:p>
        </w:tc>
        <w:tc>
          <w:tcPr>
            <w:tcW w:w="160" w:type="dxa"/>
            <w:vAlign w:val="bottom"/>
          </w:tcPr>
          <w:p>
            <w:pPr>
              <w:spacing w:after="0"/>
              <w:rPr>
                <w:sz w:val="18"/>
                <w:szCs w:val="18"/>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r>
      <w:tr>
        <w:trPr>
          <w:trHeight w:val="238"/>
        </w:trPr>
        <w:tc>
          <w:tcPr>
            <w:tcW w:w="148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40" w:type="dxa"/>
            <w:vAlign w:val="bottom"/>
          </w:tcPr>
          <w:p>
            <w:pPr>
              <w:spacing w:after="0"/>
              <w:rPr>
                <w:sz w:val="20"/>
                <w:szCs w:val="20"/>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SCT Total</w:t>
            </w:r>
          </w:p>
        </w:tc>
        <w:tc>
          <w:tcPr>
            <w:tcW w:w="120" w:type="dxa"/>
            <w:vAlign w:val="bottom"/>
          </w:tcPr>
          <w:p>
            <w:pPr>
              <w:spacing w:after="0"/>
              <w:rPr>
                <w:sz w:val="20"/>
                <w:szCs w:val="20"/>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20" w:type="dxa"/>
            <w:vAlign w:val="bottom"/>
          </w:tcPr>
          <w:p>
            <w:pPr>
              <w:spacing w:after="0"/>
              <w:rPr>
                <w:sz w:val="20"/>
                <w:szCs w:val="20"/>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3"/>
              </w:rPr>
              <w:t>Years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60" w:type="dxa"/>
            <w:vAlign w:val="bottom"/>
          </w:tcPr>
          <w:p>
            <w:pPr>
              <w:spacing w:after="0"/>
              <w:rPr>
                <w:sz w:val="20"/>
                <w:szCs w:val="20"/>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Actually Paid</w:t>
            </w:r>
          </w:p>
        </w:tc>
      </w:tr>
      <w:tr>
        <w:trPr>
          <w:trHeight w:val="209"/>
        </w:trPr>
        <w:tc>
          <w:tcPr>
            <w:tcW w:w="1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PEO</w:t>
            </w: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3,164,407</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(614,000)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588,000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254,006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105,073</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3,497,486</w:t>
            </w:r>
          </w:p>
        </w:tc>
        <w:tc>
          <w:tcPr>
            <w:tcW w:w="100" w:type="dxa"/>
            <w:vAlign w:val="bottom"/>
            <w:tcBorders>
              <w:top w:val="single" w:sz="8" w:color="CCEEFF"/>
            </w:tcBorders>
            <w:shd w:val="clear" w:color="auto" w:fill="CCEEFF"/>
          </w:tcPr>
          <w:p>
            <w:pPr>
              <w:spacing w:after="0"/>
              <w:rPr>
                <w:sz w:val="18"/>
                <w:szCs w:val="18"/>
                <w:color w:val="auto"/>
              </w:rPr>
            </w:pPr>
          </w:p>
        </w:tc>
      </w:tr>
      <w:tr>
        <w:trPr>
          <w:trHeight w:val="198"/>
        </w:trPr>
        <w:tc>
          <w:tcPr>
            <w:tcW w:w="14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Non-PEO</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NEO Average</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1,287,098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(153,500)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147,000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64,045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4,540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1,349,183</w:t>
            </w:r>
          </w:p>
        </w:tc>
      </w:tr>
    </w:tbl>
    <w:p>
      <w:pPr>
        <w:spacing w:after="0" w:line="198" w:lineRule="exact"/>
        <w:rPr>
          <w:sz w:val="20"/>
          <w:szCs w:val="20"/>
          <w:color w:val="auto"/>
        </w:rPr>
      </w:pPr>
    </w:p>
    <w:p>
      <w:pPr>
        <w:ind w:left="340" w:hanging="332"/>
        <w:spacing w:after="0"/>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Green was our only non-PEO NEO for each of 2024, 2023, 2022, 2021 and 2020.</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Shareholder Return represents the value of a hypothetical $100 investment beginning at market close on the last trading day of 2019, assuming reinvestment of all dividends.</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Given the nature of the Company’s operations, the Company calculates “Net Income” as the Net Increase/(Decrease) in Net Assets Resulting from Operations.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graph below reflects the relationship between “compensation actually paid” to our PEO and non-PEO NEO and Total Shareholder Return for the Company and the Nasdaq Stock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114300</wp:posOffset>
            </wp:positionV>
            <wp:extent cx="6429375" cy="36861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429375" cy="3686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1" w:name="page42"/>
    <w:bookmarkEnd w:id="41"/>
    <w:p>
      <w:pPr>
        <w:ind w:left="660"/>
        <w:spacing w:after="0"/>
        <w:rPr>
          <w:sz w:val="20"/>
          <w:szCs w:val="20"/>
          <w:color w:val="auto"/>
        </w:rPr>
      </w:pPr>
      <w:r>
        <w:rPr>
          <w:rFonts w:ascii="Times New Roman" w:cs="Times New Roman" w:eastAsia="Times New Roman" w:hAnsi="Times New Roman"/>
          <w:sz w:val="17"/>
          <w:szCs w:val="17"/>
          <w:color w:val="auto"/>
        </w:rPr>
        <w:t>The graph below reflects the relationship between “compensation actually paid” to our PEO and non-PEO NEO and our Net Increase/(Decrease)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Net Assets Resulting from Operations, which is the Company’s calculation of “Net Income” given the nature of the Company’s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142875</wp:posOffset>
            </wp:positionV>
            <wp:extent cx="6257925" cy="49460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57925" cy="4946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graph below reflects the relationship between “compensation actually paid” to our PEO and non-PEO NEO and our NAV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154305</wp:posOffset>
            </wp:positionV>
            <wp:extent cx="6429375" cy="30943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429375" cy="3094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877" w:right="499" w:bottom="798" w:gutter="0" w:footer="0" w:header="0"/>
        </w:sectPr>
      </w:pPr>
    </w:p>
    <w:bookmarkStart w:id="42" w:name="page43"/>
    <w:bookmarkEnd w:id="42"/>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Restrictions imposed by the 1940 Act limit the Compensation Committee’s ability to use nondiscretionary or formulaic Company performance goals or criteria to determine executive incentive compensation. However, the Compensation Committee considers several financial performance metrics, along with other factors including operational goals and individual performance criteria, in determining the appropriate compensation for the Company’s NEOs. Subject to the foregoing restrictions imposed by the 1940 Act, in the Company’s assessment, the following list of performance measures represent the most important performance measures used to link compensation actually paid to our NEOs, for the most recently completed fiscal year, to Company performance:</w:t>
      </w:r>
    </w:p>
    <w:p>
      <w:pPr>
        <w:spacing w:after="0" w:line="187" w:lineRule="exact"/>
        <w:rPr>
          <w:sz w:val="20"/>
          <w:szCs w:val="20"/>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 per Share;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declared and paid by the Company;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prudent investments within the portfolio, focusing on high-quality opportunities to ensure efficiency;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enhancements to the overall investment process, to the valuation process, and to financial reporting;</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a strong balance sheet, including maintaining liquidity and capital flexibility to accomplish the Company’s business objectives;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execution of the Company’s Share Repurchase Program and Modified “Dutch Auction” Tender Offer.</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key metrics considered by the Compensation Committee when determining the appropriate compensation for NEOs include investment activity, growth and performance of the Company’s business, maintenance of liquidity and capital flexibility, growth and development of human capital, and individual contributions to corporate objectives.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executive officers and directors serve or may serve as officers, directors, or managers of entities that operate in a line of business similar to the Company’s, including new entities that may be formed in the future. Accordingly, they may have obligations to investors in those entities, the fulfillment of which might not be in the best interests of the Company or the Company’s stockholders.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1940 Act prohibits the Company from participating in certain negotiated co-investments with certain affiliates unless it receives an order from the SEC permitting it to do so. As a BDC, the Company is prohibited under the 1940 Act from participating in certain transactions with certain of its affiliates without the prior approval of the Board of Directors, including its independent directors, and, in some cases, the SEC. The affiliates with which the Company may be prohibited from transacting include its officers, directors, and employees and any person controlling or under common control with the Company, subject to certain exceptions.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the Company may enter into transactions with portfolio companies that may be considered related party transactions. To ensure that the Company does not engage in any prohibited transactions with any persons affiliated with the Company, the Company has implemented certain written policies and procedures whereby the Company’s executive officers screen each of the Company’s transactions for any possible affiliations between the proposed portfolio investment, the Company, companies controlled by the Company and the Company’s executive officers and directors. If such affiliations are found to exist, we seek Board of Directors and/or appropriate Board of Directors committee review and approval or exemptive relief for such transactions, as appropriate.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the Company may enter into transactions with portfolio companies that may be considered related party transactions. To ensure that the Company does not engage in any prohibited transactions with any persons affiliated with the Company, the Company has implemented certain written policies and procedures whereby the Company’s executive officers screen each of the Company’s transactions for any possible affiliations between the proposed portfolio investment, the Company, companies controlled by the Company, and the Company’s executive officers and directors.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adopted a code of ethics which applies to, among others, our senior officers, including our Chief Executive Officer and Chief Financial Officer, as well as all of our officers, directors and employees. Our officers and directors also remain subject to the fiduciary obligations imposed by both the 1940 Act and applicable state corporate law. Our code of ethics requires that all employees and directors avoid any conflict, or the appearance of a conflict, between an individual’s personal interests and our interests. Pursuant to our code of ethics, each employee and director must disclose any conflicts of interest, or actions or relationships that might give rise to a conflict, to our Chief Compliance Officer. Our Board of Directors is charged with approving any waivers under our code of ethics. As required by the Nasdaq corporate governance listing standards, the Audit Committee of our Board of Directors is also required to review and approve any transactions with related parties (as such term is defined in Item 404 of Regulation S-K).</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PROPOSAL II: ADVISORY VOTE ON EXECUTIVE COMPENSATION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currently provide our stockholders with an annual vote (on an advisory and non-binding basis) on NEO compensation. More detailed discussion regarding the compensation of our NEOs is provided under the sections “Compensation Discussion and Analysis” and “Executive Compensation” above.</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Board of Directors recognizes that executive compensation is an important matter for our stockholders. As described in detail in the “Compensation Discussion and Analysis” section of this Proxy Statement, the Compensation Committee is tasked with the implementation of our executive compensation philosophy and objectives, and the core of which are to pay our executives, including NEOs, based on our and their performance. Specifically, the Compensation Committee strives to attract, retain and motivate exceptional executives, to reward past performance and provide incentives for future performance, to encourage our executive officers to think and act like our stockholders and to align executives’ long-term interests with the interests of our stockholders. To do so, the Compensation Committee uses compensation programs designed to reward excellent performance and encourage executives’ commitment to our business goals. It is the intention of the Compensation Committee that our executive officers be compensated competitively and consistently with our strategy, sound corporate governance principles, and stockholder interests and concerns.</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are asking our stockholders to indicate their support for the compensation of our NEOs as set forth in this Proxy Statement. Accordingly, we recommend our stockholders vote “FOR” the following advisory resolution at the Annual Meeting:</w:t>
      </w:r>
    </w:p>
    <w:p>
      <w:pPr>
        <w:spacing w:after="0" w:line="162" w:lineRule="exact"/>
        <w:rPr>
          <w:sz w:val="20"/>
          <w:szCs w:val="20"/>
          <w:color w:val="auto"/>
        </w:rPr>
      </w:pPr>
    </w:p>
    <w:p>
      <w:pPr>
        <w:jc w:val="both"/>
        <w:ind w:left="1300" w:right="1300"/>
        <w:spacing w:after="0" w:line="258" w:lineRule="auto"/>
        <w:rPr>
          <w:sz w:val="20"/>
          <w:szCs w:val="20"/>
          <w:color w:val="auto"/>
        </w:rPr>
      </w:pPr>
      <w:r>
        <w:rPr>
          <w:rFonts w:ascii="Times New Roman" w:cs="Times New Roman" w:eastAsia="Times New Roman" w:hAnsi="Times New Roman"/>
          <w:sz w:val="18"/>
          <w:szCs w:val="18"/>
          <w:color w:val="auto"/>
        </w:rPr>
        <w:t>“RESOLVED, that the stockholders of SuRo Capital Corp. approve, on an advisory basis, the compensation of the named executive officers of SuRo Capital Corp., as disclosed in SuRo Capital Corp.’s Proxy Statement for the 2025 Annual Meeting of Stockholders pursuant to the compensation disclosure rules of the Securities and Exchange Commission, including the Compensation Discussion and Analysis, the executive compensation tables and the other related disclosure contained in such Proxy Statement.”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vote for this Proposal II is advisory, and is therefore not binding upon the Compensation Committee, our Board of Directors or the Company. Our Compensation Committee and our Board of Directors value the opinions of our stockholders and, to the extent there is any significant vote against the compensation of our NEOs as disclosed in this Proxy Statement, we will carefully consider our stockholders’ concerns, and the Compensation Committee and our Board of Directors will evaluate whether any actions are necessary to address such concerns.</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the absence of instructions to the contrary, it is the intention of the persons named as proxies to vote “FOR” the advisory resolution to approve the compensation of the Company’s named executive officers.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YOU VOTE “FOR” THE ADVISORY RESOLUTION TO APPROVE THE COMPENSATION OF THE COMPANY’S NAMED EXECUTIVE OFFICERS.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PROPOSAL III: ADVISORY VOTE ON FREQUENCY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FUTURE ADVISORY VOTES ON EXECUTIVE COMPENSATION</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this proposal, which is provided as required pursuant to Section 14A of the Exchange Act, the Board of Directors is asking stockholders to cast a non-binding, advisory vote on how frequently in the future the Company should have say-on-pay votes:</w:t>
      </w:r>
    </w:p>
    <w:p>
      <w:pPr>
        <w:spacing w:after="0" w:line="162" w:lineRule="exact"/>
        <w:rPr>
          <w:sz w:val="20"/>
          <w:szCs w:val="20"/>
          <w:color w:val="auto"/>
        </w:rPr>
      </w:pPr>
    </w:p>
    <w:p>
      <w:pPr>
        <w:ind w:left="1300" w:right="1300"/>
        <w:spacing w:after="0" w:line="282" w:lineRule="auto"/>
        <w:rPr>
          <w:sz w:val="20"/>
          <w:szCs w:val="20"/>
          <w:color w:val="auto"/>
        </w:rPr>
      </w:pPr>
      <w:r>
        <w:rPr>
          <w:rFonts w:ascii="Times New Roman" w:cs="Times New Roman" w:eastAsia="Times New Roman" w:hAnsi="Times New Roman"/>
          <w:sz w:val="18"/>
          <w:szCs w:val="18"/>
          <w:color w:val="auto"/>
        </w:rPr>
        <w:t>“RESOLVED, that the stockholders of the Company recommend, in a non-binding vote, whether an advisory vote to approve the compensation of the Company’s named executive officers should occur every one, two or three years.”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Stockholders will be able to mark the enclosed proxy card or voting instruction form on whether to hold say-on-pay votes every one, two or three years. Alternatively, you may indicate that you are abstaining from voting. This vote is not binding on the Board of Directors. The Board of Directors believes that say-on-pay votes should be held annually to give stockholders the opportunity to provide regular input on the Company’s executive compensation programs.</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the absence of instructions to the contrary, it is the intention of the persons named as proxies to vote “1 YEAR” for the frequency of the advisory vote to approve the compensation of the Company’s NEOs.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YOU VOTE “1 YEAR” FOR THE FREQUENCY OF THE ADVISORY VOTE ON EXECUTIVE COMPENSATION.</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PROPOSAL IV: APPROVAL OF AMENDMENT AND RESTATEMENT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SURO CAPITAL CORP. AMENDED AND RESTATED 2019 EQUITY INCENTIVE PLAN</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Board of Directors recommends that our stockholders approve the amendment and restatement of the Amended Equity Incentive Plan (the “Second Amended Equity Incentive Plan”), which the Board of Directors approved and adopted on April 1, 2025. The Amended Equity Incentive Plan was approved by the Company’s stockholders on June 19, 2020.</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When stockholders approved the Amended Equity Incentive Plan, the Amended Equity Incentive provided 1,627,967 shares for issuance, which, at such time, was 10% of the Company's then-outstanding shares. The Company has granted 1,524,727 shares, and ultimately issued 615,501 shares, not including 444,526 shares granted, but still unvested under the Amended Equity Incentive Plan as of the date of this Proxy Statement. There are 567,940 shares available for issuance by the Company under the Amended Equity Incentive Plan as of the date of this Proxy Statement. To replenish the number of shares available for issuance, the Company is seeking approval for the Second Amended Equity Incentive Plan in order to increase the number of shares available for issuance under the plan. No other changes will be made to the Amended Equity Incentive Plan. The general purpose of the Second Amended Equity Incentive Plan is to attract, motivate, and retain employees, officers, and directors of the Company, to provide them with incentives and rewards for superior performance and to better align their interests with the interests of stockholders.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Board of Directors and management believe that because the market for investment professionals is highly competitive, our successful performance depends on our ability to offer fair compensation packages to our professionals that are competitive with those offered by other specialty finance companies. The highly specialized nature of our business, the competitiveness of our market and the skills and importance of our officers and employees make retention even more critical. The ability to offer equity-based compensation to our professionals, which both aligns employee behavior with stockholder interests and provides a retention tool, is vital to our future growth and success.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Board of Directors intends to be judicious in its use of equity-based compensation under the Second Amended Equity Incentive Plan. Without stockholder approval of the Second Amended Equity Incentive Plan, we would be limited in our ability to provide market-competitive compensation to attract and retain the caliber of officers and employees necessary to achieve superior performance.</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Board of Directors considered various aspects of the Second Amended Equity Incentive Plan in making this recommendation, including the number of shares reserved under the Amended Equity Incentive Plan, the number of shares currently available for awards under the Amended Equity Incentive Plan, the Company’s historic grant rates, the cost of issuing additional shares, the impact of share dilution on our existing stockholders and the central role of equity-based incentive compensation in our executive compensation program, as described more fully in the Compensation Discussion and Analysis section of this Proxy Statement. The Board of Directors believes that the proposed increase in the number of shares available for issuance under the Second Amended Equity Incentive Plan is necessary for retaining the flexibility to grant equity-based incentive compensation at optimal levels to motivate and reward the Company’s employees for their contributions to the success of the Company and the growth in value of our stock.</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June 16, 2020, the SEC granted to the Company exemptive relief that authorizes the Company to issue restricted shares of the Company’s common stock, in addition to options, to its directors, officers, and other employees, subject to the terms and conditions of the exemptive relief. Awards granted under the Second Amended Equity Incentive Plan, if approved by the Company's stockholders at the Annual Meeting, will comply with all aspects of this exemptive relief.</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the Second Amended Equity Incentive Plan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Board of Directors voted to approve the Second Amended Equity Incentive Plan on April 1, 2025 for the purpose of attracting and retaining the services of officers and employees, and recommends approval of the Second Amended Equity Incentive Plan by stockholders. The following is a summary of the material features of the Second Amended Equity Incentive Plan, as it will be in effect following approval by stockholders. Other than the increase in the number of shares available for grant under the Second Amended Equity Incentive Plan, the Second Amended Equity Incentive Plan is identical to the Amended Equity Incentive Plan. This summary may not contain all of the information important to you. You are encouraged to read the entire Second Amended Equity Incentive Plan, a copy of which is attached as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to this Proxy Statement.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7" w:name="page48"/>
    <w:bookmarkEnd w:id="47"/>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General</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Second Amended Equity Incentive Plan contemplates the grant of options, restricted shares, restricted stock units, other stock-based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awards, and performance compensation awards (collectively called “Plan Awards”). The Company has received exemptive relief from the SEC to grant options to acquire shares of our common stock to employees and officers, including employee-directors, and restricted shares to employees, officers and all directors, including non-employee directors. Options granted under the Second Amended Equity Incentive Plan may be either “incentive stock options,” as defined in Section 422 of the Code, or nonqualified stock options, as determined by the Board of Directors or the Compensation Committee.</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Participants. </w:t>
      </w:r>
      <w:r>
        <w:rPr>
          <w:rFonts w:ascii="Times New Roman" w:cs="Times New Roman" w:eastAsia="Times New Roman" w:hAnsi="Times New Roman"/>
          <w:sz w:val="18"/>
          <w:szCs w:val="18"/>
          <w:color w:val="auto"/>
        </w:rPr>
        <w:t>As of the Record Date, there were approximately fourteen (14) persons eligible to participate in the Second Amended Equity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Incentive Plan. The basis of participation in the Second Amended Equity Incentive Plan will be subject to the discretionary determination by the Board of Directors and the Compensation Committee from time to time.</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Number of Shares Authorized. </w:t>
      </w:r>
      <w:r>
        <w:rPr>
          <w:rFonts w:ascii="Times New Roman" w:cs="Times New Roman" w:eastAsia="Times New Roman" w:hAnsi="Times New Roman"/>
          <w:sz w:val="18"/>
          <w:szCs w:val="18"/>
          <w:color w:val="auto"/>
        </w:rPr>
        <w:t>Subject to certain adjustments under the Second Amended Equity Incentive Plan, the maximum aggregate number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shares of our common stock that may be authorized for issuance under the Second Amended Equity Incentive Plan is ten percent (10%) of the outstanding shares of our common stock as of the date the Second Amended Equity Plan becomes effective. Assuming the number of shares of our common stock outstanding as of the effective date is 23,551,859, subject to adjustments as described under the Second Amended Equity Incentive Plan, the new maximum aggregate number of our common stock that may be authorized for issuance under the Second Amended Equity Incentive Plan would be 2,355,185.</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any Plan Award expires or otherwise terminates or is settled in cash, in whole or in part, the shares of stock will again become available for issuance under the Second Amended Equity Incentive Plan. In the event that withholding tax liabilities arising from a Plan Award (other than an option) are satisfied by the Company withholding shares, the shares of stock withheld will again be available for issuance under the Second Amended Equity Incentive Plan. The following shares of stock will not again be available for issuance: (i) shares tendered by the participant to the Company in payment of the exercise price of an option or other purchase price of a Plan Award; (ii) shares tendered by the participant to the Company to satisfy any tax withholding obligation with respect to a Plan Award, and (iii) shares reacquired by the Company on the open market or otherwise using cash proceeds from the exercise of options or settlement of a Plan Award.</w:t>
      </w:r>
    </w:p>
    <w:p>
      <w:pPr>
        <w:spacing w:after="0" w:line="18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Limits on Individual Grants. </w:t>
      </w:r>
      <w:r>
        <w:rPr>
          <w:rFonts w:ascii="Times New Roman" w:cs="Times New Roman" w:eastAsia="Times New Roman" w:hAnsi="Times New Roman"/>
          <w:sz w:val="18"/>
          <w:szCs w:val="18"/>
          <w:color w:val="auto"/>
        </w:rPr>
        <w:t>The maximum number of shares for which any employee, officer or director may be granted in Plan Awards in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calendar year is two and one-half percent (2.5%) of the outstanding shares of the Company as of the date the Second Amended Equity Incentive Plan becomes effective.</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Plan Awards to Non-Employee Directors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Anticipated awards of restricted shares under the Second Amended Equity Incentive Plan to the non-employee directors are set forth below and any changes to such amounts may not be made without SEC approval. Such awards of restricted shares to the non-employee directors will be made on an annual basis for so long as such non-employee director remains on the Board of Directors; provided, however, no non-employee director will be granted restricted shares to the extent that such grant would cause he or she to receive more than 2.5% of the total outstanding shares of the Company in any calendar year, or if such grant would cause the Company to exceed the maximum number of shares authorized for issuance under the Second Amended Equity Incentive Plan.</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Administration. </w:t>
      </w:r>
      <w:r>
        <w:rPr>
          <w:rFonts w:ascii="Times New Roman" w:cs="Times New Roman" w:eastAsia="Times New Roman" w:hAnsi="Times New Roman"/>
          <w:sz w:val="18"/>
          <w:szCs w:val="18"/>
          <w:color w:val="auto"/>
        </w:rPr>
        <w:t>The Board of Directors will delegate its authority to administer the Second Amended Equity Incentive Plan to the Compensation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Committee. Subject to the other provisions of the Second Amended Equity Incentive Plan, as well as the terms and conditions of the requested relief, the Board of Directors and/or the Compensation Committee has the power to:</w:t>
      </w:r>
    </w:p>
    <w:p>
      <w:pPr>
        <w:spacing w:after="0" w:line="175" w:lineRule="exact"/>
        <w:rPr>
          <w:sz w:val="20"/>
          <w:szCs w:val="20"/>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 participants;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8" w:name="page49"/>
    <w:bookmarkEnd w:id="48"/>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when and how each Plan Award will be granted and documented;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type or combination of Plan Awards to be made to participants;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provisions of each Plan Award granted;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interpret the Second Amended Equity Incentive Plan and Plan Awards;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amend rules and regulations relating to the Second Amended Equity Incentive Plan, including adoption of sub-plans for Awards to non-United States persons;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all other determinations it deems necessary or advisable for the administration of the Second Amended Equity Incentive Plan.</w:t>
      </w:r>
    </w:p>
    <w:p>
      <w:pPr>
        <w:spacing w:after="0" w:line="22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Eligibility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Second Amended Equity Incentive Plan provides that Plan Awards may be granted to current or prospective employees, officers,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directors (including non-employee directors), advisors or consultants of the Company, or its affiliates.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Plan Award granted under the Second Amended Equity Incentive Plan will be evidenced by an agreement between the participant and the Company, which will describe the Plan Award and state the terms and conditions to which the Plan Award is subject. The principal terms and conditions of each particular type of Plan Award are described below.</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Options</w:t>
      </w:r>
      <w:r>
        <w:rPr>
          <w:rFonts w:ascii="Times New Roman" w:cs="Times New Roman" w:eastAsia="Times New Roman" w:hAnsi="Times New Roman"/>
          <w:sz w:val="18"/>
          <w:szCs w:val="18"/>
          <w:color w:val="auto"/>
        </w:rPr>
        <w:t>. An option is the right to purchase shares of the Company for a specified period of time at a fixed price (the “exercise price”). Each option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 will contain the terms and conditions that the Compensation Committee deems appropriate. Each grant of options will be separately designated as incentive stock options or nonqualified stock options at the time of grant.</w:t>
      </w:r>
    </w:p>
    <w:p>
      <w:pPr>
        <w:spacing w:after="0" w:line="173" w:lineRule="exact"/>
        <w:rPr>
          <w:sz w:val="20"/>
          <w:szCs w:val="20"/>
          <w:color w:val="auto"/>
        </w:rPr>
      </w:pPr>
    </w:p>
    <w:p>
      <w:pPr>
        <w:jc w:val="both"/>
        <w:ind w:left="980" w:hanging="324"/>
        <w:spacing w:after="0" w:line="261" w:lineRule="auto"/>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Exercise Price. </w:t>
      </w:r>
      <w:r>
        <w:rPr>
          <w:rFonts w:ascii="Times New Roman" w:cs="Times New Roman" w:eastAsia="Times New Roman" w:hAnsi="Times New Roman"/>
          <w:sz w:val="18"/>
          <w:szCs w:val="18"/>
          <w:color w:val="auto"/>
        </w:rPr>
        <w:t>The exercise price of each option will not be less than 100% of the fair market value of our common stock, subject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 on the date the option is granted. However, any optionee who owns more than 10% of the combined voting power of all classes of the Company’s outstanding common stock (a “10% Stockholder”), will not be eligible for the grant of an incentive stock option unless the exercise price of the incentive stock option is at least 110% of the fair market value of our common stock on the date of grant.</w:t>
      </w:r>
    </w:p>
    <w:p>
      <w:pPr>
        <w:spacing w:after="0" w:line="181" w:lineRule="exact"/>
        <w:rPr>
          <w:rFonts w:ascii="Times New Roman" w:cs="Times New Roman" w:eastAsia="Times New Roman" w:hAnsi="Times New Roman"/>
          <w:sz w:val="18"/>
          <w:szCs w:val="18"/>
          <w:color w:val="auto"/>
        </w:rPr>
      </w:pPr>
    </w:p>
    <w:p>
      <w:pPr>
        <w:ind w:left="9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action will be taken that would be treated as a repricing under applicable listing rules or to the extent otherwise prohibited by the 1940 Act.</w:t>
      </w:r>
    </w:p>
    <w:p>
      <w:pPr>
        <w:spacing w:after="0" w:line="15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Consideration. </w:t>
      </w:r>
      <w:r>
        <w:rPr>
          <w:rFonts w:ascii="Times New Roman" w:cs="Times New Roman" w:eastAsia="Times New Roman" w:hAnsi="Times New Roman"/>
          <w:sz w:val="18"/>
          <w:szCs w:val="18"/>
          <w:color w:val="auto"/>
        </w:rPr>
        <w:t>The exercise price for shares issued upon exercise of an option will be paid in full at the time of exercise either (i) in cash or</w:t>
      </w:r>
    </w:p>
    <w:p>
      <w:pPr>
        <w:spacing w:after="0" w:line="29" w:lineRule="exact"/>
        <w:rPr>
          <w:rFonts w:ascii="Times New Roman" w:cs="Times New Roman" w:eastAsia="Times New Roman" w:hAnsi="Times New Roman"/>
          <w:sz w:val="18"/>
          <w:szCs w:val="18"/>
          <w:color w:val="auto"/>
        </w:rPr>
      </w:pPr>
    </w:p>
    <w:p>
      <w:pPr>
        <w:jc w:val="both"/>
        <w:ind w:left="980"/>
        <w:spacing w:after="0" w:line="253" w:lineRule="auto"/>
        <w:tabs>
          <w:tab w:leader="none" w:pos="124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so permitted by the Compensation Committee and if permitted by the 1940 Act and otherwise legally permissible (A) through a broker-assisted exercise program, (B) by withholding shares from the shares otherwise to be received upon exercise of the option, (C) by the delivery of our common stock, (D) any other means of payment as may be acceptable to the Compensation Committee or (E) any combination of the foregoing methods.</w:t>
      </w:r>
    </w:p>
    <w:p>
      <w:pPr>
        <w:spacing w:after="0" w:line="186" w:lineRule="exact"/>
        <w:rPr>
          <w:rFonts w:ascii="Times New Roman" w:cs="Times New Roman" w:eastAsia="Times New Roman" w:hAnsi="Times New Roman"/>
          <w:sz w:val="18"/>
          <w:szCs w:val="18"/>
          <w:color w:val="auto"/>
        </w:rPr>
      </w:pPr>
    </w:p>
    <w:p>
      <w:pPr>
        <w:ind w:left="980" w:hanging="324"/>
        <w:spacing w:after="0" w:line="284" w:lineRule="auto"/>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 of the Option. </w:t>
      </w:r>
      <w:r>
        <w:rPr>
          <w:rFonts w:ascii="Times New Roman" w:cs="Times New Roman" w:eastAsia="Times New Roman" w:hAnsi="Times New Roman"/>
          <w:sz w:val="18"/>
          <w:szCs w:val="18"/>
          <w:color w:val="auto"/>
        </w:rPr>
        <w:t>Generally, no option will be exercisable after the expiration of ten years from the date of grant. In the case of an 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granted to a 10% Stockholder, the term of an incentive stock option will be for no more than five years from the date of grant.</w:t>
      </w:r>
    </w:p>
    <w:p>
      <w:pPr>
        <w:spacing w:after="0" w:line="15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Restricted Shares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Plan Award of restricted shares is a grant to the recipient of a specified number of shares of our common stock that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subject to forfeiture upon specified events during the restriction period. Each grant of restricted shares will specify the length of the restriction period and will include restrictions on transfer to third parties during the restriction period, will contain other terms and conditions that the Compensation Committee deems appropriate and may be made in exchange for past services or other lawful consideration.</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Subject to certain forfeiture restrictions, each non-employee director is automatically granted the number of restricted shares equal to $50,000 divided by the closing price per share of our common stock on the date of grant, on the date of each of the Company’s annual meeting of stockholders, and the forfeiture restrictions for such shares will lapse, if the non-employee director is in continuous service through the anniversary of such grant (or, if earlier, the annual meeting of stockholders that is closest to the anniversary of such grant). Continuous service means the participant’s uninterrupted service with the Company or an affiliate (including any predecessors), whether as an employee or a non-employee director.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Vesting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Compensation Committee may determine the time or times at which options and restricted shares will vest or become payable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exercisable, as applicable.</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Nontransferability of Awards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general, during a participant’s lifetime, his or her Plan Awards shall be exercisable only by the participant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shall not be transferable other than by will or laws of descent and distribution. However, the Compensation Committee may provide for limited lifetime transfers of Plan Awards, other than incentive stock options, to certain family members. In addition, no Plan Awards will be transferrable for consideration.</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Termination of Employment or Other Service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Unless the Compensation Committee expressly provides otherwise, immediately upon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cessation of a participant’s continuous service with the Company, the unvested portion, if any, of an Award held by the participant will immediately terminate.</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Acceleration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Compensation Committee will have the power to accelerate the time at which a Plan Award or any portion thereof vests or may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first be exercised.</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Change of Control Transactions. </w:t>
      </w:r>
      <w:r>
        <w:rPr>
          <w:rFonts w:ascii="Times New Roman" w:cs="Times New Roman" w:eastAsia="Times New Roman" w:hAnsi="Times New Roman"/>
          <w:sz w:val="18"/>
          <w:szCs w:val="18"/>
          <w:color w:val="auto"/>
        </w:rPr>
        <w:t>Except as otherwise provided in the participant’s Plan Award agreement, in the event of a Change in Control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defined below) in which there is an acquiring or surviving entity, the Compensation Committee may provide for the assumption of some or all of the outstanding Plan Awards, or for the grant of new Plan Awards in substitution therefor, by the acquiror or survivor.</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“Change in Control” is defined in the Second Amended Equity Incentive Plan as:</w:t>
      </w:r>
    </w:p>
    <w:p>
      <w:pPr>
        <w:spacing w:after="0" w:line="225" w:lineRule="exact"/>
        <w:rPr>
          <w:sz w:val="20"/>
          <w:szCs w:val="20"/>
          <w:color w:val="auto"/>
        </w:rPr>
      </w:pPr>
    </w:p>
    <w:p>
      <w:pPr>
        <w:jc w:val="both"/>
        <w:ind w:left="980" w:hanging="648"/>
        <w:spacing w:after="0" w:line="261"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(whether by purchase, merger, consolidation, combination or other similar transaction) by any Person of beneficial ownership (within the meaning of Rule 13d-3 promulgated under the Exchange Act) of more than fifty percent (50%) (on a fully diluted basis) of either</w:t>
      </w:r>
    </w:p>
    <w:p>
      <w:pPr>
        <w:jc w:val="both"/>
        <w:ind w:left="980"/>
        <w:spacing w:after="0" w:line="251" w:lineRule="auto"/>
        <w:tabs>
          <w:tab w:leader="none" w:pos="1286"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then outstanding shares of our common stock taking into account as outstanding for this purpose such common stock issuable upon the exercise of options or warrants, the conversion of convertible stock or debt, and the exercise of any similar right to acquire such common stock, or (B) the combined voting power of the then outstanding voting securities of the Company entitled to vote generally in the election of directors; provided, however, that for purposes of the Second Amended Equity Incentive Plan, the following acquisitions shall not constitute a Change in Control: (I) any acquisition by the Company or any affiliate; (II) any acquisition by any employee benefit plan sponsored or maintained by the Company or any affiliate; or (III) in respect of a Plan Award held by a particular participant, any acquisition by the participant or any group of Persons including the participant (or any entity controlled by the participant or any group of persons including the participant);</w:t>
      </w:r>
    </w:p>
    <w:p>
      <w:pPr>
        <w:spacing w:after="0" w:line="193" w:lineRule="exact"/>
        <w:rPr>
          <w:rFonts w:ascii="Times New Roman" w:cs="Times New Roman" w:eastAsia="Times New Roman" w:hAnsi="Times New Roman"/>
          <w:sz w:val="18"/>
          <w:szCs w:val="18"/>
          <w:color w:val="auto"/>
        </w:rPr>
      </w:pPr>
    </w:p>
    <w:p>
      <w:pPr>
        <w:jc w:val="both"/>
        <w:ind w:left="980" w:hanging="648"/>
        <w:spacing w:after="0" w:line="254"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period of twenty-four (24) months, individuals who, at the beginning of such period, constitute the Board of Directors (the “Incumbent Directors”), cease for any reason to constitute at least a majority of the Board of Directors provided that any person becoming a director subsequent to the date hereof, whose election or nomination for election was approved by a vote of at least two-thirds (2/3rds) of the Incumbent Directors then on the Board of Directors (either by a specific vote or by approval of the proxy statement of the Company in which such person is named as a nominee for director, without written objection to such nomination) shall be an Incumbent Director; provided, however, that no individual initially elected or nominated as a director of the Company, as a result of an actual or threatened election contest, as such terms are used in Rule 14a-12 of Regulation 14A promulgated under the Exchange Act, with respect to directors or as a result of any other actual or threatened solicitation of proxies or consents by or on behalf of any person other than the Board of Directors shall be deemed to be an Incumbent Director;</w:t>
      </w:r>
    </w:p>
    <w:p>
      <w:pPr>
        <w:spacing w:after="0" w:line="188"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transfer or other disposition of all or substantially all of the assets of the Company to any person that is not an affiliate of the Company; or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0" w:name="page51"/>
    <w:bookmarkEnd w:id="50"/>
    <w:p>
      <w:pPr>
        <w:ind w:left="980" w:hanging="648"/>
        <w:spacing w:after="0" w:line="282"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management structure of the Company from an internally managed BDC to an externally managed BDC pursuant to which the Company enters into an investment advisory agreement with a third-party adviser.</w:t>
      </w:r>
    </w:p>
    <w:p>
      <w:pPr>
        <w:spacing w:after="0" w:line="15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Effective Date, Amendments, and Termination of the Second Amended Equity Incentive Plan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Second Amended Equity Incentive Plan will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become effective upon approval by our stockholders. The Board of Directors may at any time or any times amend the Second Amended Equity Incentive Plan or any outstanding Plan Award for any purpose that may at the time be permitted by law. The Board of Directors may at any time terminate the Second Amended Equity Incentive Plan as to future grants of Plan Awards. However, the Board of Directors may not, without a participant’s consent, alter the terms of a Plan Award so as to affect substantially and adversely the participant’s right under the Plan Award, unless the Board of Directors reserves the right to do so in the Plan Award agreement. Any amendments to the Second Amended Equity Incentive Plan will be conditioned upon stockholder approval only to the extent, if any, such approval is required by law (including the Code) or by applicable securities exchange requirements, as determined by the Company. Unless sooner terminated, the Second Amended Equity Incentive Plan shall terminate on the tenth anniversary of the date the Second Amended Equity Incentive Plan became effective.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Federal Income Tax Considerations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discussion is a summary of certain federal income tax considerations that may be relevant to participants in the Second Amended Equity Incentive Plan. The discussion is for general informational purposes only and does not purport to address specific federal income tax considerations that may apply to a participant based on his or her particular circumstances, nor does it address foreign, state or local income tax or other tax considerations that may be relevant to a participant.</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PARTICIPANTS ARE URGED TO CONSULT THEIR OWN TAX ADVISORS WITH RESPECT TO THE PARTICULAR FEDERAL INCOME TAX CONSEQUENCES TO THEM OF PARTICIPATING IN THE SECOND AMENDED EQUITY INCENTIVE PLAN, AS WELL AS WITH RESPECT TO ANY APPLICABLE FOREIGN, STATE OR LOCAL INCOME TAX OR OTHER TAX CONSIDERATIONS.</w:t>
      </w:r>
    </w:p>
    <w:p>
      <w:pPr>
        <w:spacing w:after="0" w:line="17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Options. </w:t>
      </w:r>
      <w:r>
        <w:rPr>
          <w:rFonts w:ascii="Times New Roman" w:cs="Times New Roman" w:eastAsia="Times New Roman" w:hAnsi="Times New Roman"/>
          <w:sz w:val="18"/>
          <w:szCs w:val="18"/>
          <w:color w:val="auto"/>
        </w:rPr>
        <w:t>Options granted under the Second Amended Equity Incentive Plan generally will not be taxable to a recipient at the time of grant. Upon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exercise of an option, the amount by which the fair market value of the shares of the common stock received, determined as of the date of exercise, exceeds the exercise price generally will be treated as compensation income to the recipient of the option in the year of exercise. In accordance with applicable regulations of the Internal Revenue Service (the “IRS”), the Company requires the optionee to pay to it an amount sufficient to satisfy taxes required to be withheld in respect of such compensation income at the time of the exercise of the option. If the Company withholds shares to satisfy this withholding tax obligation, instead of receiving cash, the optionee nonetheless will be required to include in income the fair market value of the shares withheld. When the optionee sells the shares of common stock received upon exercise of the option, he or she will generally recognize a capital gain or loss (long-term or short-term, depending upon the holding period of the stock sold) in an amount equal to the difference between the amount realized upon the sale of the shares and his or her basis in the shares (i.e., the exercise price plus the amount taxed to the optionee as compensation income).</w:t>
      </w:r>
    </w:p>
    <w:p>
      <w:pPr>
        <w:spacing w:after="0" w:line="18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Restricted Shares. </w:t>
      </w:r>
      <w:r>
        <w:rPr>
          <w:rFonts w:ascii="Times New Roman" w:cs="Times New Roman" w:eastAsia="Times New Roman" w:hAnsi="Times New Roman"/>
          <w:sz w:val="18"/>
          <w:szCs w:val="18"/>
          <w:color w:val="auto"/>
        </w:rPr>
        <w:t>Generally, a grant of restricted shares under the Second Amended Equity Incentive Plan will not result in taxable income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recipient for U.S. federal income tax purposes at the time of the grant. The value of restricted shares generally will be taxable to the recipient as ordinary income in the years in which the restrictions on the shares lapse. Such value will be the fair market value of the shares on the dates the restrictions lapse. Any recipient, however, may elect pursuant to Section 83(b) of the Code to treat the fair market value of the restricted shares on the date of grant as ordinary income in the year of the grant, provided the recipient makes the election within 30 days after the date of the grant.</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the date the restricted shares vest (assuming no Section 83(b) election has been made), the shares are released to the participant and available for sale or transfer (subject to the Company’s share retention guidelines or any other applicable restrictions). In accordance with the applicable regulations of the IRS, the Company requires the recipient to pay to it (or otherwise provide) an amount sufficient to satisfy withholding taxes in respect of the compensation income recognized at such time. Where the cumulative withholding for all employees exceeds $100,000, the amounts withheld generally must be deposited with the IRS by the next business day; therefore, procedures generally must be implemented to collect the withholding from employees on the vesting date itself or as soon as possible thereafter.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1" w:name="page52"/>
    <w:bookmarkEnd w:id="51"/>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lieu of receiving a cash payment or withholding from other compensation from a participant, typically an equity plan will provide for withholding of shares equal in value at the vesting date to the monetary amount of the company’s withholding obligation, sometimes referred to as a “net share settlement.” In this scenario, shares with value equal to the tax payment are withheld from the award and may be returned to the plan reserve, if permitted under the terms of the plan or award agreement. If the Company withholds shares to satisfy this withholding tax obligation, instead of cash, the recipient nonetheless will be required to include in income the fair market value of the shares withheld.</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Second Amended Equity Incentive Plan incorporates this concept of “net share settlement.” Specifically, it provides that the Company is authorized to withhold the common stock at the time the restricted shares are taxed in satisfaction of the participant’s tax obligations. However, no such withholding of shares will take place except pursuant to written assurance or exemptive relief from the SEC.</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Section 162(m) Limitations. </w:t>
      </w:r>
      <w:r>
        <w:rPr>
          <w:rFonts w:ascii="Times New Roman" w:cs="Times New Roman" w:eastAsia="Times New Roman" w:hAnsi="Times New Roman"/>
          <w:sz w:val="18"/>
          <w:szCs w:val="18"/>
          <w:color w:val="auto"/>
        </w:rPr>
        <w:t>Section 162(m) of the Code generally limits the deductibility of compensation in excess of $1,000,000 paid to certain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officers. The officers covered by Section 162(m) include the principal executive officer, the principal financial officer, and the highest paid three officers whose total compensation is (or was) required to be disclosed to stockholders in the current year or a prior year (beginning in 2017).</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Withholding. </w:t>
      </w:r>
      <w:r>
        <w:rPr>
          <w:rFonts w:ascii="Times New Roman" w:cs="Times New Roman" w:eastAsia="Times New Roman" w:hAnsi="Times New Roman"/>
          <w:sz w:val="18"/>
          <w:szCs w:val="18"/>
          <w:color w:val="auto"/>
        </w:rPr>
        <w:t>The Company has the right to deduct from the payment of any Plan Award all applicable income and employment taxes required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federal, state, local or foreign law to be withheld, or may require the participant to pay such withholding taxes to the Company as a condition of receiving payment of the Plan Award. The participant has the right to satisfy his or her withholding tax obligations by transferring to the Company shares of common stock of the Company owned by the participant equal in value to the monetary amount of the withholding obligation.</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New Plan Benefits. </w:t>
      </w:r>
      <w:r>
        <w:rPr>
          <w:rFonts w:ascii="Times New Roman" w:cs="Times New Roman" w:eastAsia="Times New Roman" w:hAnsi="Times New Roman"/>
          <w:sz w:val="18"/>
          <w:szCs w:val="18"/>
          <w:color w:val="auto"/>
        </w:rPr>
        <w:t>Because benefits under the Second Amended Equity Incentive Plan are discretionary with respect to employees and will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depend on the actions of the Board of Directors or the Compensation Committee and the value of the Company’s common stock, it is not possible to determine the value of the benefits that will be received by employees. The benefits for non-employee directors under the Second Amended Equity Incentive Plan are discussed above under “- Plan Awards to Non-Employee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Grants under the Second Amended Equity Incentive Plan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Future grants of awards to officers and employees under the Second Amended Equity Incentive Plan are discretionary and are, therefore, not determinable at this time.</w:t>
      </w:r>
    </w:p>
    <w:p>
      <w:pPr>
        <w:spacing w:after="0" w:line="15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A stockholder can vote for or withhold his or her vote from the approval of the Second Amended Equity Incentive Plan. </w:t>
      </w:r>
      <w:r>
        <w:rPr>
          <w:rFonts w:ascii="Times New Roman" w:cs="Times New Roman" w:eastAsia="Times New Roman" w:hAnsi="Times New Roman"/>
          <w:sz w:val="18"/>
          <w:szCs w:val="18"/>
          <w:b w:val="1"/>
          <w:bCs w:val="1"/>
          <w:color w:val="auto"/>
        </w:rPr>
        <w:t>In the absence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instructions to the contrary, it is the intention of the persons named as proxies to vote such proxy “FOR” the approval of the Second Amended Equity Incentive Plan.</w:t>
      </w:r>
    </w:p>
    <w:p>
      <w:pPr>
        <w:spacing w:after="0" w:line="1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YOU VOTE “FOR” THE APPROVAL OF THE SECOND AMENDED EQUITY INCENTIVE PLAN.</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PROPOSAL V: RATIFICATION OF SELECTION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November 1, 2024, the attest business of Marcum LLP (“Marcum”) was acquired by CBIZ CPAs P.C. (“CBIZ”). Due to this acquisition, on April 3, 2025, the Company terminated its relationship with Marcum as the Company’s independent registered accounting firm. On April 3, 2025, the Company, with the approval of the Audit Committee of the Company’s Board of Directors, engaged CBIZ as the Company’s independent registered public accounting firm.</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At meetings held on April 1, 2025, our Board of Directors and the Audit Committee selected CBIZ to serve as our independent registered public accounting firm for the fiscal year ending December 31, 2025. CBIZ also will serve as the independent registered public accounting firm for all of our wholly owned subsidiaries. CBIZ has advised us that neither the firm nor any present member or associate of it has any material financial interest, direct or indirect, in us or our affiliates. It is expected that a representative of CBIZ will be present at the Annual Meeting and will have an opportunity to make a statement if he or she chooses and will be available to answer questions.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reports of Marcum on our financial statements for the fiscal years ended December 31, 2024, 2023 and 2022 contained no adverse opinion or disclaimer of opinion, and were not qualified or modified as to uncertainty, audit scope or accounting principles.</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fees billed to the Company for professional services rendered by Marcum for the fiscal years ended December 31, 2024 and 2023:</w:t>
      </w:r>
    </w:p>
    <w:p>
      <w:pPr>
        <w:spacing w:after="0" w:line="158"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Fiscal Year</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Fiscal Year</w:t>
            </w:r>
          </w:p>
        </w:tc>
      </w:tr>
      <w:tr>
        <w:trPr>
          <w:trHeight w:val="216"/>
        </w:trPr>
        <w:tc>
          <w:tcPr>
            <w:tcW w:w="37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37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3780" w:type="dxa"/>
            <w:vAlign w:val="bottom"/>
            <w:tcBorders>
              <w:bottom w:val="single" w:sz="8" w:color="CCEEFF"/>
            </w:tcBorders>
          </w:tcPr>
          <w:p>
            <w:pPr>
              <w:spacing w:after="0"/>
              <w:rPr>
                <w:sz w:val="20"/>
                <w:szCs w:val="20"/>
                <w:color w:val="auto"/>
              </w:rPr>
            </w:pPr>
          </w:p>
        </w:tc>
        <w:tc>
          <w:tcPr>
            <w:tcW w:w="22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CCEEFF"/>
            </w:tcBorders>
          </w:tcPr>
          <w:p>
            <w:pPr>
              <w:spacing w:after="0"/>
              <w:rPr>
                <w:sz w:val="20"/>
                <w:szCs w:val="20"/>
                <w:color w:val="auto"/>
              </w:rPr>
            </w:pPr>
          </w:p>
        </w:tc>
      </w:tr>
      <w:tr>
        <w:trPr>
          <w:trHeight w:val="237"/>
        </w:trPr>
        <w:tc>
          <w:tcPr>
            <w:tcW w:w="3780" w:type="dxa"/>
            <w:vAlign w:val="bottom"/>
            <w:shd w:val="clear" w:color="auto" w:fill="CCEEFF"/>
          </w:tcPr>
          <w:p>
            <w:pPr>
              <w:spacing w:after="0" w:line="236" w:lineRule="exact"/>
              <w:rPr>
                <w:sz w:val="20"/>
                <w:szCs w:val="20"/>
                <w:color w:val="auto"/>
              </w:rPr>
            </w:pPr>
            <w:r>
              <w:rPr>
                <w:rFonts w:ascii="Times New Roman" w:cs="Times New Roman" w:eastAsia="Times New Roman" w:hAnsi="Times New Roman"/>
                <w:sz w:val="17"/>
                <w:szCs w:val="17"/>
                <w:color w:val="auto"/>
              </w:rPr>
              <w:t>Audit Fees</w:t>
            </w:r>
            <w:r>
              <w:rPr>
                <w:rFonts w:ascii="Times New Roman" w:cs="Times New Roman" w:eastAsia="Times New Roman" w:hAnsi="Times New Roman"/>
                <w:sz w:val="27"/>
                <w:szCs w:val="27"/>
                <w:color w:val="auto"/>
                <w:vertAlign w:val="superscript"/>
              </w:rPr>
              <w:t>(1)</w:t>
            </w:r>
          </w:p>
        </w:tc>
        <w:tc>
          <w:tcPr>
            <w:tcW w:w="242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672,048</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646,938</w:t>
            </w:r>
          </w:p>
        </w:tc>
        <w:tc>
          <w:tcPr>
            <w:tcW w:w="100" w:type="dxa"/>
            <w:vAlign w:val="bottom"/>
            <w:shd w:val="clear" w:color="auto" w:fill="CCEEFF"/>
          </w:tcPr>
          <w:p>
            <w:pPr>
              <w:spacing w:after="0"/>
              <w:rPr>
                <w:sz w:val="20"/>
                <w:szCs w:val="20"/>
                <w:color w:val="auto"/>
              </w:rPr>
            </w:pPr>
          </w:p>
        </w:tc>
      </w:tr>
      <w:tr>
        <w:trPr>
          <w:trHeight w:val="257"/>
        </w:trPr>
        <w:tc>
          <w:tcPr>
            <w:tcW w:w="37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Audit-Related Fees</w:t>
            </w:r>
            <w:r>
              <w:rPr>
                <w:rFonts w:ascii="Times New Roman" w:cs="Times New Roman" w:eastAsia="Times New Roman" w:hAnsi="Times New Roman"/>
                <w:sz w:val="29"/>
                <w:szCs w:val="29"/>
                <w:color w:val="auto"/>
                <w:vertAlign w:val="superscript"/>
              </w:rPr>
              <w:t>(2)</w:t>
            </w:r>
          </w:p>
        </w:tc>
        <w:tc>
          <w:tcPr>
            <w:tcW w:w="2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23,175</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31,200</w:t>
            </w:r>
          </w:p>
        </w:tc>
        <w:tc>
          <w:tcPr>
            <w:tcW w:w="100" w:type="dxa"/>
            <w:vAlign w:val="bottom"/>
          </w:tcPr>
          <w:p>
            <w:pPr>
              <w:spacing w:after="0"/>
              <w:rPr>
                <w:sz w:val="22"/>
                <w:szCs w:val="22"/>
                <w:color w:val="auto"/>
              </w:rPr>
            </w:pPr>
          </w:p>
        </w:tc>
      </w:tr>
      <w:tr>
        <w:trPr>
          <w:trHeight w:val="256"/>
        </w:trPr>
        <w:tc>
          <w:tcPr>
            <w:tcW w:w="37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9"/>
                <w:szCs w:val="29"/>
                <w:color w:val="auto"/>
                <w:vertAlign w:val="superscript"/>
              </w:rPr>
              <w:t>(3)</w:t>
            </w:r>
          </w:p>
        </w:tc>
        <w:tc>
          <w:tcPr>
            <w:tcW w:w="22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42,676</w:t>
            </w:r>
          </w:p>
        </w:tc>
        <w:tc>
          <w:tcPr>
            <w:tcW w:w="1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39,877</w:t>
            </w:r>
          </w:p>
        </w:tc>
        <w:tc>
          <w:tcPr>
            <w:tcW w:w="100" w:type="dxa"/>
            <w:vAlign w:val="bottom"/>
            <w:shd w:val="clear" w:color="auto" w:fill="CCEEFF"/>
          </w:tcPr>
          <w:p>
            <w:pPr>
              <w:spacing w:after="0"/>
              <w:rPr>
                <w:sz w:val="22"/>
                <w:szCs w:val="22"/>
                <w:color w:val="auto"/>
              </w:rPr>
            </w:pPr>
          </w:p>
        </w:tc>
      </w:tr>
      <w:tr>
        <w:trPr>
          <w:trHeight w:val="270"/>
        </w:trPr>
        <w:tc>
          <w:tcPr>
            <w:tcW w:w="378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All Other Fees</w:t>
            </w:r>
            <w:r>
              <w:rPr>
                <w:rFonts w:ascii="Times New Roman" w:cs="Times New Roman" w:eastAsia="Times New Roman" w:hAnsi="Times New Roman"/>
                <w:sz w:val="29"/>
                <w:szCs w:val="29"/>
                <w:color w:val="auto"/>
                <w:vertAlign w:val="superscript"/>
              </w:rPr>
              <w:t>(4)</w:t>
            </w:r>
          </w:p>
        </w:tc>
        <w:tc>
          <w:tcPr>
            <w:tcW w:w="2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Fees</w:t>
            </w:r>
          </w:p>
        </w:tc>
        <w:tc>
          <w:tcPr>
            <w:tcW w:w="2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737,899</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718,015</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11" w:lineRule="exact"/>
        <w:rPr>
          <w:sz w:val="20"/>
          <w:szCs w:val="20"/>
          <w:color w:val="auto"/>
        </w:rPr>
      </w:pPr>
    </w:p>
    <w:p>
      <w:pPr>
        <w:ind w:left="340" w:right="20" w:hanging="332"/>
        <w:spacing w:after="0" w:line="284"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Audit Fees</w:t>
      </w:r>
      <w:r>
        <w:rPr>
          <w:rFonts w:ascii="Times New Roman" w:cs="Times New Roman" w:eastAsia="Times New Roman" w:hAnsi="Times New Roman"/>
          <w:sz w:val="18"/>
          <w:szCs w:val="18"/>
          <w:color w:val="auto"/>
        </w:rPr>
        <w:t>. Audit fees consist of fees billed for professional services rendered for the audit of our year-end financial statements and services that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normally provided by our independent registered public accountants in connection with statutory and regulatory filings.</w:t>
      </w:r>
    </w:p>
    <w:p>
      <w:pPr>
        <w:spacing w:after="0" w:line="158" w:lineRule="exact"/>
        <w:rPr>
          <w:rFonts w:ascii="Times New Roman" w:cs="Times New Roman" w:eastAsia="Times New Roman" w:hAnsi="Times New Roman"/>
          <w:sz w:val="18"/>
          <w:szCs w:val="18"/>
          <w:color w:val="auto"/>
        </w:rPr>
      </w:pPr>
    </w:p>
    <w:p>
      <w:pPr>
        <w:jc w:val="both"/>
        <w:ind w:left="340" w:hanging="332"/>
        <w:spacing w:after="0" w:line="267"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Audit-Related Fees</w:t>
      </w:r>
      <w:r>
        <w:rPr>
          <w:rFonts w:ascii="Times New Roman" w:cs="Times New Roman" w:eastAsia="Times New Roman" w:hAnsi="Times New Roman"/>
          <w:sz w:val="18"/>
          <w:szCs w:val="18"/>
          <w:color w:val="auto"/>
        </w:rPr>
        <w:t>. Audit-related services consist of fees billed for assurance and related services that are reasonably related to the performance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audit or review of our financial statements and are not reported under “Audit Fees.” These services include attest services that are not required by statute or regulation and consultations concerning financial accounting and reporting standards.</w:t>
      </w:r>
    </w:p>
    <w:p>
      <w:pPr>
        <w:spacing w:after="0" w:line="173" w:lineRule="exact"/>
        <w:rPr>
          <w:rFonts w:ascii="Times New Roman" w:cs="Times New Roman" w:eastAsia="Times New Roman" w:hAnsi="Times New Roman"/>
          <w:sz w:val="18"/>
          <w:szCs w:val="18"/>
          <w:color w:val="auto"/>
        </w:rPr>
      </w:pPr>
    </w:p>
    <w:p>
      <w:pPr>
        <w:ind w:left="340" w:hanging="332"/>
        <w:spacing w:after="0" w:line="284"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Tax Fees</w:t>
      </w:r>
      <w:r>
        <w:rPr>
          <w:rFonts w:ascii="Times New Roman" w:cs="Times New Roman" w:eastAsia="Times New Roman" w:hAnsi="Times New Roman"/>
          <w:sz w:val="18"/>
          <w:szCs w:val="18"/>
          <w:color w:val="auto"/>
        </w:rPr>
        <w:t>. Tax fees consist of fees billed for professional services for tax compliance. These services include assistance regarding federal, state,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local tax compliance.</w:t>
      </w:r>
    </w:p>
    <w:p>
      <w:pPr>
        <w:spacing w:after="0" w:line="15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All Other Fees</w:t>
      </w:r>
      <w:r>
        <w:rPr>
          <w:rFonts w:ascii="Times New Roman" w:cs="Times New Roman" w:eastAsia="Times New Roman" w:hAnsi="Times New Roman"/>
          <w:sz w:val="18"/>
          <w:szCs w:val="18"/>
          <w:color w:val="auto"/>
        </w:rPr>
        <w:t>. All other fees would include fees for products and services other than the services reported above.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Audit Committee of the Board of Directors of the Company operates under a written charter adopted by the Board of Directors. The Audit Committee is currently composed of Ms. Westley and Messrs. Mazur, Potter, and Lott.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Management is responsible for the Company’s internal controls and the financial reporting process. The Company’s independent registered public accounting firm is responsible for performing an independent audit of the Company’s financial statements in accordance with auditing standards generally accepted in the United States and expressing an opinion on the conformity of those audited financial statements in accordance with accounting principles generally accepted in the United States. The Audit Committee’s responsibility is to monitor and oversee these processes. The Audit Committee is also directly responsible for the appointment, compensation and oversight of the Company’s independent registered public accounting firm.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Audit Committee has established a pre-approval policy that describes the permitted audit, audit-related, tax and other services to be provided by the Company’s independent registered public accounting firm. The policy requires that the Audit Committee pre-approve the audit and non-audit services performed by the Company’s independent registered public accounting firm in order to assure that the provision of such service does not impair such auditor’s independence.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Any requests for audit, audit-related, tax and other services that have not received general pre-approval must be submitted to the Audit Committee for specific pre-approval, irrespective of the amount, and cannot commence until such approval has been granted. Normally, pre-approval is provided at regularly scheduled meetings of the Audit Committee. However, the Audit Committee may delegate pre-approval authority to subcommittees consisting of one or more of its members. The member or members to whom such authority is delegated shall report any pre-approval decisions to the Audit Committee at its next scheduled meeting. The Audit Committee does not delegate its responsibilities to pre-approve services performed by the independent registered public accounting firm to management.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Review with Management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Audit Committee has reviewed the audited financial statements and met and held discussions with management regarding the audited financial statements. Management has represented to the Audit Committee that the Company’s financial statements were prepared in accordance with accounting principles generally accepted in the United States.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Review and Discussion with Independent Registered Public Accounting Firm</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Audit Committee has discussed with Marcum, the Company’s independent registered public accounting firm during the fiscal year ended December 31, 2024, the matters an independent auditor is required to discuss with the Audit Committee under the rules adopted by the Public Company Accounting Oversight Board (“PCAOB”). The Audit Committee has received and reviewed the written disclosures and the letter from Marcum required by the applicable requirements of the PCAOB and has discussed with Marcum its independence. The Audit Committee has also considered whether the provision of non- audit services, and the fees charged for such services, by Marcum are compatible with Marcum maintaining its independence from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Based on the Audit Committee’s discussion with management and Marcum, the Audit Committee’s review of the audited financial statements, the representations of management and the report of Marcum to the Audit Committee, the Audit Committee recommended that the Company’s Board of Directors include the audited financial statements in the Company’s annual report on Form 10-K for the fiscal year ended December 31, 2024 for filing with the SEC. The Audit Committee also recommended the selection of CBIZ to serve as the Company’s independent registered public accounting firm for the fiscal year ending December 31, 2025.</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4" w:name="page55"/>
    <w:bookmarkEnd w:id="54"/>
    <w:p>
      <w:pPr>
        <w:ind w:left="5620"/>
        <w:spacing w:after="0"/>
        <w:rPr>
          <w:sz w:val="20"/>
          <w:szCs w:val="20"/>
          <w:color w:val="auto"/>
        </w:rPr>
      </w:pPr>
      <w:r>
        <w:rPr>
          <w:rFonts w:ascii="Times New Roman" w:cs="Times New Roman" w:eastAsia="Times New Roman" w:hAnsi="Times New Roman"/>
          <w:sz w:val="18"/>
          <w:szCs w:val="18"/>
          <w:color w:val="auto"/>
        </w:rPr>
        <w:t>Respectfully Submitted,</w:t>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The Audit Committee</w:t>
      </w:r>
    </w:p>
    <w:p>
      <w:pPr>
        <w:spacing w:after="0" w:line="25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Marc Mazur, </w:t>
      </w:r>
      <w:r>
        <w:rPr>
          <w:rFonts w:ascii="Times New Roman" w:cs="Times New Roman" w:eastAsia="Times New Roman" w:hAnsi="Times New Roman"/>
          <w:sz w:val="18"/>
          <w:szCs w:val="18"/>
          <w:i w:val="1"/>
          <w:iCs w:val="1"/>
          <w:color w:val="auto"/>
        </w:rPr>
        <w:t>Chair</w:t>
      </w:r>
    </w:p>
    <w:p>
      <w:pPr>
        <w:spacing w:after="0" w:line="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Ronald M. Lott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Leonard A. Potter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Lisa Westley</w:t>
      </w:r>
    </w:p>
    <w:p>
      <w:pPr>
        <w:spacing w:after="0" w:line="20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The foregoing report shall not be deemed incorporated by reference by any general statement incorporating by reference this Proxy Statement into any filing under the Securities Act of 1933, as amended (the “Securities Act”), or the Exchange Act, except to the extent that we specifically incorporate this information by reference, and shall not otherwise be deemed filed under such Securities Act and/or Exchange Act.</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Unless marked to the contrary, the shares represented by the enclosed proxy card will be voted for ratification of the appointment of CBIZ CPAs P.C. as the independent registered public accounting firm of the Company for the fiscal year ending December 31, 2025.</w:t>
      </w:r>
    </w:p>
    <w:p>
      <w:pPr>
        <w:spacing w:after="0" w:line="15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YOU VOTE “FOR” THE RATIFICATION OF THE SELECTION OF CBIZ CPAs P.C. AS INDEPENDENT REGISTERED PUBLIC ACCOUNTING FIRM FOR THE COMPANY FOR THE FISCAL YEAR ENDING DECEMBER 31, 2025.</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5" w:name="page56"/>
    <w:bookmarkEnd w:id="5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BUSINESS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Board of Directors knows of no other business to be presented for action at the Annual Meeting. If any matters do come before the Annual Meeting on which action can properly be taken, it is intended that the proxies shall vote in accordance with the judgment of the person or persons exercising the authority conferred by the proxy at the Annual Meeting. The submission of a proposal does not guarantee its inclusion in the Company’s proxy statement or presentation at the Annual Meeting unless certain securities law requirements are met.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SUBMISSION OF STOCKHOLDER PROPOSALS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expects that the 2026 Annual Meeting of Stockholders will be held in, or around, June 2026, but the exact date, time, and location of such meeting have yet to be determined. A stockholder who intends to present a proposal at the 2026 Annual Meeting of Stockholders pursuant to the SEC’s Rule 14a-8 must submit the proposal in writing to the Corporate Secretary of SuRo Capital Corp. at 640 Fifth Avenue, 12th Floor, New York, New York 10019 or the Company’s then current business address. The Company must receive the proposal no earlier than November 12, 2025 and no later than December 12, 2025, as described below, in order for the proposal to be considered for inclusion in the Company’s proxy statement for that meeting. The submission of a proposal does not guarantee its inclusion in the Company’s proxy statement or presentation at the meeting.</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Stockholder proposals or director nominations to be presented at the 2026 Annual Meeting of Stockholders, other than stockholder proposals submitted pursuant to the SEC’s Rule 14a-8, must be submitted in accordance with the advance notice procedures and other requirements set forth in our bylaws. These requirements are separate from the requirements discussed above to have the stockholder nomination or other proposal included in our proxy statement and form of proxy/voting instruction card pursuant to the SEC’s rules. The item to be brought before the meeting must be a proper subject for stockholder action. Our bylaws require that to be timely, a stockholder’s notice must set forth all information required and must be delivered to the Corporate Secretary at the principal executive office of the Company at the above address not earlier than the 150th day prior to the first anniversary of the date of this Proxy Statement nor later than 5:00 p.m., Eastern Time, on the 120th day prior to the first anniversary of the date of this Proxy Statement. As a result, for the Company’s 2026 Annual Meeting of Stockholders, a stockholder’s notice submitted pursuant to the provisions of our bylaws must be received no earlier than November 12, 2025, and no later than 5:00 p.m., Eastern Time, on December 12, 2025; provided, however, that in the event that the date of the 2026 Annual Meeting of Stockholders is advanced or delayed by more than 30 days from the first anniversary of this Annual Meeting, notice by the stockholder to be timely must be delivered not earlier than the 150th day prior to the date of the 2026 Annual Meeting of Stockholders and not later than 5:00 p.m., Eastern Time, on the later of the 120th day prior to the date of the 2026 Annual Meeting of Stockholders or the tenth day following the day on which public announcement of the date of the 2026 Annual Meeting of Stockholders is first made. The public announcement of a postponement or adjournment of an annual meeting shall not commence a new time period for the giving of a stockholder’s notice. The submission of a proposal pursuant to the provisions of the Company’s bylaws does not guarantee its presentation at any meeting of stockholders. We advise you to review our bylaws, a copy of which is on file with the SEC, and which contain additional requirements about advance notice of stockholder proposals and director nominations. In accordance with our bylaws, the Chair of the 2026 Annual Meeting of Stockholders may determine, if the facts warrant, that a matter has not been properly brought before the meeting and, therefore, may not be considered at the meeting.</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Notices of intention to present proposals at the 2026 Annual Meeting of Stockholders should be addressed to the Corporate Secretary of SuRo Capital Corp. at 640 Fifth Avenue, 12th Floor, New York, New York 10019. The Company reserves the right to reject, rule out of order, or take other appropriate action with respect to any proposal that does not comply with these and other applicable requirements.</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You are cordially invited to attend the Annual Meeting of stockholders in person. Regardless of whether you plan to attend the Annual Meeting, you are requested to complete, date, sign and promptly return the accompanying proxy card in the enclosed postage-paid envelope, or to vote by telephone or through the internet.</w:t>
      </w:r>
    </w:p>
    <w:p>
      <w:pPr>
        <w:spacing w:after="0" w:line="17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Allison Green</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11, 2025</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PRIVACY NOTICE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committed to protecting your privacy. This Privacy Notice sets forth our policies with respect to non-public personal information about our stockholders and prospective and former stockholders. These policies apply to stockholders in the Company and may be changed at any time, provided a notice of such change is given to you.</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You provide us with personal information, such as your address, social security number, assets and/or income information, (i) in correspondence and conversations with us and our representatives and (ii) through transactions in the Company.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do not disclose any of this non-public personal information about our stockholders, or prospective or former stockholders to anyone, other than to our affiliates, such as our investment adviser and administrator, and except as permitted by law, such as to our accountants, attorneys, auditors, brokers, regulators and certain service providers, in each such case, only as necessary to facilitate the acceptance and management of your investment or account and our relationship with you. We will comply with all federal and state laws regarding the protection of consumer information.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will also release information about you if you direct us to do so, if compelled to do so by law, or in connection with any government or self-regulatory organization request or investigation. For example, it may be necessary, under anti-money laundering and similar laws, to disclose information about stockholders in order to accept investments from them and provide reports to them.</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seek to carefully safeguard your private information and, to that end, restrict access to non-public personal information about you to those employees and other persons who need to know the information to enable us to provide services to you. We maintain physical, electronic and procedural safeguards to protect your non-public personal information.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you have any questions regarding this policy or the treatment of your non-public personal information, please contact our Chief Compliance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w:t>
      </w:r>
    </w:p>
    <w:p>
      <w:pPr>
        <w:spacing w:after="0" w:line="20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SuRo Capital Corp.</w:t>
      </w:r>
    </w:p>
    <w:p>
      <w:pPr>
        <w:ind w:left="4580"/>
        <w:spacing w:after="0" w:line="205" w:lineRule="auto"/>
        <w:rPr>
          <w:sz w:val="20"/>
          <w:szCs w:val="20"/>
          <w:color w:val="auto"/>
        </w:rPr>
      </w:pPr>
      <w:r>
        <w:rPr>
          <w:rFonts w:ascii="Times New Roman" w:cs="Times New Roman" w:eastAsia="Times New Roman" w:hAnsi="Times New Roman"/>
          <w:sz w:val="18"/>
          <w:szCs w:val="18"/>
          <w:color w:val="auto"/>
        </w:rPr>
        <w:t>640 Fifth Avenue, 12</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ATTN: Chief Compliance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SECOND AMENDED &amp; RESTATED 2019 EQUITY INCENTIVE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Effective May [__], 2025</w:t>
      </w:r>
    </w:p>
    <w:p>
      <w:pPr>
        <w:spacing w:after="0" w:line="203" w:lineRule="exact"/>
        <w:rPr>
          <w:sz w:val="20"/>
          <w:szCs w:val="20"/>
          <w:color w:val="auto"/>
        </w:rPr>
      </w:pPr>
    </w:p>
    <w:p>
      <w:pPr>
        <w:jc w:val="both"/>
        <w:ind w:firstLine="656"/>
        <w:spacing w:after="0" w:line="254" w:lineRule="auto"/>
        <w:tabs>
          <w:tab w:leader="none" w:pos="841"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Purpose</w:t>
      </w:r>
      <w:r>
        <w:rPr>
          <w:rFonts w:ascii="Times New Roman" w:cs="Times New Roman" w:eastAsia="Times New Roman" w:hAnsi="Times New Roman"/>
          <w:sz w:val="18"/>
          <w:szCs w:val="18"/>
          <w:color w:val="auto"/>
        </w:rPr>
        <w:t>. The purpose of the SuRo Capital Corp. Second Amended and Restated 2019 Equity Incentive Plan is to provide a means through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the Company and its Affiliates may attract and retain key personnel and provide a means whereby directors, officers, employees, consultants and advisors (and prospective directors, officers, employees, consultants and advisors) of the Company and its Affiliates can acquire and maintain an equity interest in the Company, or be paid incentive compensation, including incentive compensation measured by reference to the value of Common Stock, thereby strengthening their commitment to the welfare of the Company and its Affiliates and aligning their interests with those of the Company’s stockholders. At all times during such periods as the Company qualifies or is intended to qualify as a “business development company” under the 1940 Act, the terms of the Plan shall be construed so as to conform to the stock-based compensation requirements applicable to “business development companies” under the 1940 Act. An Award or related transaction will be deemed to be permitted under the 1940 Act if permitted by any exemptive or “no-action” relief granted by the Commission or its staff.</w:t>
      </w:r>
    </w:p>
    <w:p>
      <w:pPr>
        <w:spacing w:after="0" w:line="188" w:lineRule="exact"/>
        <w:rPr>
          <w:rFonts w:ascii="Times New Roman" w:cs="Times New Roman" w:eastAsia="Times New Roman" w:hAnsi="Times New Roman"/>
          <w:sz w:val="18"/>
          <w:szCs w:val="18"/>
          <w:b w:val="1"/>
          <w:bCs w:val="1"/>
          <w:color w:val="auto"/>
        </w:rPr>
      </w:pPr>
    </w:p>
    <w:p>
      <w:pPr>
        <w:ind w:left="840" w:hanging="184"/>
        <w:spacing w:after="0"/>
        <w:tabs>
          <w:tab w:leader="none" w:pos="84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The following definitions shall be applicable throughout the Plan.</w:t>
      </w:r>
    </w:p>
    <w:p>
      <w:pPr>
        <w:spacing w:after="0" w:line="229" w:lineRule="exact"/>
        <w:rPr>
          <w:sz w:val="20"/>
          <w:szCs w:val="20"/>
          <w:color w:val="auto"/>
        </w:rPr>
      </w:pPr>
    </w:p>
    <w:p>
      <w:pPr>
        <w:ind w:left="900" w:hanging="244"/>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1940 Act</w:t>
      </w:r>
      <w:r>
        <w:rPr>
          <w:rFonts w:ascii="Times New Roman" w:cs="Times New Roman" w:eastAsia="Times New Roman" w:hAnsi="Times New Roman"/>
          <w:sz w:val="18"/>
          <w:szCs w:val="18"/>
          <w:color w:val="auto"/>
        </w:rPr>
        <w:t>” means the Investment Company Act of 1940, as amended, and the rules and regulations promulgated thereunder.</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Absolute Share Limit</w:t>
      </w:r>
      <w:r>
        <w:rPr>
          <w:rFonts w:ascii="Times New Roman" w:cs="Times New Roman" w:eastAsia="Times New Roman" w:hAnsi="Times New Roman"/>
          <w:sz w:val="18"/>
          <w:szCs w:val="18"/>
          <w:color w:val="auto"/>
        </w:rPr>
        <w:t>” has the meaning given such term in Section 5(b) of the Plan.</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90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controls, is controlled by or is under common control with the Company. The term “control” (including, with correlative meaning, the terms “controlled by” and “under common control with”), as applied to any Person, means the possession, directly or indirectly, of the power to direct or cause the direction of the management and policies of such Person, whether through the ownership of voting or other securities, by contract or otherwise.</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90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means, individually or collectively, any Incentive Stock Option, Nonqualified Stock Option, Restricted Share, Restricted Stock Unit, Other Stock-Based Award, or Performance Compensation Award granted under the Plan.</w:t>
      </w:r>
    </w:p>
    <w:p>
      <w:pPr>
        <w:spacing w:after="0" w:line="16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rFonts w:ascii="Times New Roman" w:cs="Times New Roman" w:eastAsia="Times New Roman" w:hAnsi="Times New Roman"/>
          <w:sz w:val="18"/>
          <w:szCs w:val="18"/>
          <w:color w:val="auto"/>
        </w:rPr>
      </w:pPr>
    </w:p>
    <w:p>
      <w:pPr>
        <w:jc w:val="both"/>
        <w:ind w:firstLine="656"/>
        <w:spacing w:after="0" w:line="253" w:lineRule="auto"/>
        <w:tabs>
          <w:tab w:leader="none" w:pos="87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means, as to any Participant, unless the applicable Award agreement states otherwise, (i) “Cause,” as defined in any employment or consulting agreement between the Participant and the Service Recipient in effect at the time of such Termination; or (ii) in the absence of any such employment or consulting agreement (or the absence of any definition of “Cause” contained therein), the Participant’s (A) willful neglect in the performance of the Participant’s duties for the Service Recipient or willful or repeated failure or refusal to perform such duties; (B) engagement in conduct in connection with the Participant’s employment or service with the Service Recipient that results, or could reasonably be expected to result, in material harm to the business or reputation of the Company or any Affiliate; (C) conviction of, or plea of guilty or no contest to, (I) any felony or (II) any other crime that results, or could reasonably be expected to result, in material harm to the business or reputation of the Company or any Affiliate; (D) material violation of the written policies of the Company and any Affiliate for which Participant is engaged in business dealings on behalf of the Company or a Service Recipient, including but not limited to those relating to sexual harassment, or the disclosure or misuse of confidential information, or any other policies set forth in the manuals or statements of policy of the Company, the Service Recipient, or an Affiliate, as applicable; (E) fraud or misappropriation, embezzlement or misuse of funds, property, or opportunity belonging to the Company or any Affiliate; or (F) act of personal dishonesty that involves personal profit in connection with the Participant’s employment or service to the Service Recipient.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9" w:name="page60"/>
    <w:bookmarkEnd w:id="59"/>
    <w:p>
      <w:pPr>
        <w:ind w:left="920" w:hanging="264"/>
        <w:spacing w:after="0"/>
        <w:tabs>
          <w:tab w:leader="none" w:pos="9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means:</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1544"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acquisition (whether by purchase, merger, consolidation, combination or other similar transaction) by any Person of beneficial ownership (within the meaning of Rule 13d-3 promulgated under the Exchange Act) of more than fifty percent (50%) (on a fully diluted basis) of either (A) the then outstanding shares of Common Stock, taking into account as outstanding for this purpose such Common Stock issuable upon the exercise of options or warrants, the conversion of convertible stock or debt, and the exercise of any similar right to acquire such Common Stock, or (B) the combined voting power of the then outstanding voting securities of the Company entitled to vote generally in the election of directors;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for purposes of this Plan, the following acquisitions shall not constitute a Change in Control: (I) any acquisition by the Company or any Affiliate; (II) any acquisition by any employee benefit plan sponsored or maintained by the Company or any Affiliate; or (III) in respect of an Award held by a particular Participant, any acquisition by the Participant or any group of Persons including the Participant (or any entity controlled by the Participant or any group of Persons including the Participant);</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1575"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period of twenty-four (24) months, individuals who, at the beginning of such period, constitute the Board (the “</w:t>
      </w:r>
      <w:r>
        <w:rPr>
          <w:rFonts w:ascii="Times New Roman" w:cs="Times New Roman" w:eastAsia="Times New Roman" w:hAnsi="Times New Roman"/>
          <w:sz w:val="18"/>
          <w:szCs w:val="18"/>
          <w:u w:val="single" w:color="auto"/>
          <w:color w:val="auto"/>
        </w:rPr>
        <w:t>Incumbent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Directors</w:t>
      </w:r>
      <w:r>
        <w:rPr>
          <w:rFonts w:ascii="Times New Roman" w:cs="Times New Roman" w:eastAsia="Times New Roman" w:hAnsi="Times New Roman"/>
          <w:sz w:val="18"/>
          <w:szCs w:val="18"/>
          <w:color w:val="auto"/>
        </w:rPr>
        <w:t xml:space="preserve">”) cease for any reason to constitute at least a majority of the Board, provided that any person becoming a director subsequent to the date hereof, whose election or nomination for election was approved by a vote of at least two-thirds (2/3rds) of the Incumbent Directors then on the Board (either by a specific vote or by approval of the proxy statement of the Company in which such person is named as a nominee for director, without written objection to such nomination) shall be an Incumbent Director;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individual initially elected or nominated as a director of the Company as a result of an actual or threatened election contest, as such terms are used in Rule 14a-12 of Regulation 14A promulgated under the Exchange Act, with respect to directors or as a result of any other actual or threatened solicitation of proxies or consents by or on behalf of any person other than the Board shall be deemed to be an Incumbent Director;</w:t>
      </w:r>
    </w:p>
    <w:p>
      <w:pPr>
        <w:spacing w:after="0" w:line="191" w:lineRule="exact"/>
        <w:rPr>
          <w:rFonts w:ascii="Times New Roman" w:cs="Times New Roman" w:eastAsia="Times New Roman" w:hAnsi="Times New Roman"/>
          <w:sz w:val="18"/>
          <w:szCs w:val="18"/>
          <w:color w:val="auto"/>
        </w:rPr>
      </w:pPr>
    </w:p>
    <w:p>
      <w:pPr>
        <w:ind w:left="660" w:firstLine="644"/>
        <w:spacing w:after="0" w:line="282" w:lineRule="auto"/>
        <w:tabs>
          <w:tab w:leader="none" w:pos="1632"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transfer or other disposition of all or substantially all of the assets of the Company to any Person that is not an Affiliate of the Company; or</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82" w:lineRule="auto"/>
        <w:tabs>
          <w:tab w:leader="none" w:pos="1621"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management structure of the Company from an internally managed business development company to an externally managed business development company pursuant to which the Company enters into an investment advisory agreement with a third-party advisor.</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03"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and any successor thereto. Reference in the Plan to any section of the Code shall be deemed to include any regulations or other interpretative guidance under such section, and any amendments or successor provisions to such section, regulations or guidance.</w:t>
      </w:r>
    </w:p>
    <w:p>
      <w:pPr>
        <w:spacing w:after="0" w:line="175"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means the Compensation Committee of the Board, or the Board.</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16"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par value $0.01 per share, of the Company (and any stock or other securities into which such Common Stock may be converted or into which it may be exchanged).</w:t>
      </w:r>
    </w:p>
    <w:p>
      <w:pPr>
        <w:spacing w:after="0" w:line="161"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means SuRo Capital Corp., a Maryland corporation, and any successor thereto.</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Compensation Committee</w:t>
      </w:r>
      <w:r>
        <w:rPr>
          <w:rFonts w:ascii="Times New Roman" w:cs="Times New Roman" w:eastAsia="Times New Roman" w:hAnsi="Times New Roman"/>
          <w:sz w:val="18"/>
          <w:szCs w:val="18"/>
          <w:color w:val="auto"/>
        </w:rPr>
        <w:t>” means the compensation committee of the Board. The Compensation Committee shall have at least two</w:t>
      </w:r>
    </w:p>
    <w:p>
      <w:pPr>
        <w:spacing w:after="0" w:line="27" w:lineRule="exact"/>
        <w:rPr>
          <w:rFonts w:ascii="Times New Roman" w:cs="Times New Roman" w:eastAsia="Times New Roman" w:hAnsi="Times New Roman"/>
          <w:sz w:val="18"/>
          <w:szCs w:val="18"/>
          <w:color w:val="auto"/>
        </w:rPr>
      </w:pPr>
    </w:p>
    <w:p>
      <w:pPr>
        <w:jc w:val="both"/>
        <w:ind w:firstLine="8"/>
        <w:spacing w:after="0" w:line="260" w:lineRule="auto"/>
        <w:tabs>
          <w:tab w:leader="none" w:pos="29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each of whom shall be a “non-employee director” as defined in Rule 16b-3 under the Exchange Act and, if applicable, meets the independence requirements of the applicable stock exchange, quotation system or other self-regulatory organization on which the Common Stock is traded.</w:t>
      </w:r>
    </w:p>
    <w:p>
      <w:pPr>
        <w:spacing w:after="0" w:line="181" w:lineRule="exact"/>
        <w:rPr>
          <w:rFonts w:ascii="Times New Roman" w:cs="Times New Roman" w:eastAsia="Times New Roman" w:hAnsi="Times New Roman"/>
          <w:sz w:val="18"/>
          <w:szCs w:val="18"/>
          <w:color w:val="auto"/>
        </w:rPr>
      </w:pPr>
    </w:p>
    <w:p>
      <w:pPr>
        <w:ind w:firstLine="656"/>
        <w:spacing w:after="0" w:line="282" w:lineRule="auto"/>
        <w:tabs>
          <w:tab w:leader="none" w:pos="903"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Continuous Service</w:t>
      </w:r>
      <w:r>
        <w:rPr>
          <w:rFonts w:ascii="Times New Roman" w:cs="Times New Roman" w:eastAsia="Times New Roman" w:hAnsi="Times New Roman"/>
          <w:sz w:val="18"/>
          <w:szCs w:val="18"/>
          <w:color w:val="auto"/>
        </w:rPr>
        <w:t>” means the Participant’s uninterrupted service with the Company or an Affiliate (including any predecessors), whether as an employee or a non-employee director.</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Date of Grant</w:t>
      </w:r>
      <w:r>
        <w:rPr>
          <w:rFonts w:ascii="Times New Roman" w:cs="Times New Roman" w:eastAsia="Times New Roman" w:hAnsi="Times New Roman"/>
          <w:sz w:val="18"/>
          <w:szCs w:val="18"/>
          <w:color w:val="auto"/>
        </w:rPr>
        <w:t>” means the date on which the granting of an Award is authorized, or such other date as may be specified in such authorization.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0" w:name="page61"/>
    <w:bookmarkEnd w:id="60"/>
    <w:p>
      <w:pPr>
        <w:ind w:firstLine="656"/>
        <w:spacing w:after="0" w:line="282" w:lineRule="auto"/>
        <w:tabs>
          <w:tab w:leader="none" w:pos="903"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Foreign Subsidiaries</w:t>
      </w:r>
      <w:r>
        <w:rPr>
          <w:rFonts w:ascii="Times New Roman" w:cs="Times New Roman" w:eastAsia="Times New Roman" w:hAnsi="Times New Roman"/>
          <w:sz w:val="18"/>
          <w:szCs w:val="18"/>
          <w:color w:val="auto"/>
        </w:rPr>
        <w:t>” means all Affiliates organized under the laws of any jurisdiction or country other than the United States that may be designated by the Board or the Committee from time to time.</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903"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Detrimental Activity</w:t>
      </w:r>
      <w:r>
        <w:rPr>
          <w:rFonts w:ascii="Times New Roman" w:cs="Times New Roman" w:eastAsia="Times New Roman" w:hAnsi="Times New Roman"/>
          <w:sz w:val="18"/>
          <w:szCs w:val="18"/>
          <w:color w:val="auto"/>
        </w:rPr>
        <w:t>” means any of the following: (i) unauthorized disclosure of any confidential or proprietary information of the Company or its Affiliates; (ii) any activity that would be grounds to terminate the Participant’s employment or service with the Service Recipient for Cause; (iii) the breach of any noncompetition, nonsolicitation or other agreement containing restrictive covenants, with the Company or its Affiliates; or (iv) fraud or conduct contributing to any financial restatements or irregularities, as determined by the Committee in its sole discretion.</w:t>
      </w:r>
    </w:p>
    <w:p>
      <w:pPr>
        <w:spacing w:after="0" w:line="179" w:lineRule="exact"/>
        <w:rPr>
          <w:rFonts w:ascii="Times New Roman" w:cs="Times New Roman" w:eastAsia="Times New Roman" w:hAnsi="Times New Roman"/>
          <w:sz w:val="18"/>
          <w:szCs w:val="18"/>
          <w:color w:val="auto"/>
        </w:rPr>
      </w:pPr>
    </w:p>
    <w:p>
      <w:pPr>
        <w:jc w:val="both"/>
        <w:ind w:firstLine="656"/>
        <w:spacing w:after="0" w:line="256" w:lineRule="auto"/>
        <w:tabs>
          <w:tab w:leader="none" w:pos="913"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means, as to any Participant, unless the applicable Award agreement states otherwise, (i) “Disability”, as defined in any employment or consulting agreement between the Participant and the Service Recipient in effect at the time of such Termination; or (ii) in the absence of any such employment or consulting agreement (or the absence of any definition of “Disability” contained therein), a condition entitling the Participant to receive income replacement benefits under a long-term disability plan of the Company or an Affiliate, or, in the absence of such a plan, the complete and permanent inability by reason of illness or accident to perform the duties of the occupation at which a Participant was employed or served when such disability commenced. Any determination of whether Disability exists shall be made by the Company in its sole discretion.</w:t>
      </w:r>
    </w:p>
    <w:p>
      <w:pPr>
        <w:spacing w:after="0" w:line="187"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 Shares</w:t>
      </w:r>
      <w:r>
        <w:rPr>
          <w:rFonts w:ascii="Times New Roman" w:cs="Times New Roman" w:eastAsia="Times New Roman" w:hAnsi="Times New Roman"/>
          <w:sz w:val="18"/>
          <w:szCs w:val="18"/>
          <w:color w:val="auto"/>
        </w:rPr>
        <w:t>” has the meaning given such term in Section 8(g) of the Plan.</w:t>
      </w:r>
    </w:p>
    <w:p>
      <w:pPr>
        <w:spacing w:after="0" w:line="225"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means the date when the Plan has been approved by the stockholders of the Company, which approval shall be within twelve</w:t>
      </w:r>
    </w:p>
    <w:p>
      <w:pPr>
        <w:spacing w:after="0" w:line="27" w:lineRule="exact"/>
        <w:rPr>
          <w:rFonts w:ascii="Times New Roman" w:cs="Times New Roman" w:eastAsia="Times New Roman" w:hAnsi="Times New Roman"/>
          <w:sz w:val="18"/>
          <w:szCs w:val="18"/>
          <w:color w:val="auto"/>
        </w:rPr>
      </w:pPr>
    </w:p>
    <w:p>
      <w:pPr>
        <w:jc w:val="both"/>
        <w:ind w:firstLine="8"/>
        <w:spacing w:after="0" w:line="253" w:lineRule="auto"/>
        <w:tabs>
          <w:tab w:leader="none" w:pos="37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months before or after the date the Plan is adopted by the Board;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Plan shall not be effective with respect to Awards involving Common Stock, including Options, Restricted Shares, Restricted Stock Units and Other Stock-Based Awards, unless the Company has received an order of the Commission under Section 6(c) of the 1940 Act for an exemption from Sections 23(a) and 23(b), under Section 57(i) of the 1940 Act and Rule 17d-1 thereunder for an exemption from Section 57(a)(4) and under Section 23(c)(3) of the 1940 Act for an exemption from Section 23(c).</w:t>
      </w:r>
    </w:p>
    <w:p>
      <w:pPr>
        <w:spacing w:after="0" w:line="186" w:lineRule="exact"/>
        <w:rPr>
          <w:rFonts w:ascii="Times New Roman" w:cs="Times New Roman" w:eastAsia="Times New Roman" w:hAnsi="Times New Roman"/>
          <w:sz w:val="18"/>
          <w:szCs w:val="18"/>
          <w:color w:val="auto"/>
        </w:rPr>
      </w:pPr>
    </w:p>
    <w:p>
      <w:pPr>
        <w:jc w:val="both"/>
        <w:ind w:firstLine="656"/>
        <w:spacing w:after="0" w:line="253" w:lineRule="auto"/>
        <w:tabs>
          <w:tab w:leader="none" w:pos="903"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Person</w:t>
      </w:r>
      <w:r>
        <w:rPr>
          <w:rFonts w:ascii="Times New Roman" w:cs="Times New Roman" w:eastAsia="Times New Roman" w:hAnsi="Times New Roman"/>
          <w:sz w:val="18"/>
          <w:szCs w:val="18"/>
          <w:color w:val="auto"/>
        </w:rPr>
        <w:t xml:space="preserve">” means any (i) individual employed by the Company or an Affiliate;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such employee covered by a collective bargaining agreement shall be an Eligible Person unless and to the extent that such eligibility is set forth in such collective bargaining agreement or in an agreement or instrument relating thereto; (ii) director or officer of the Company or an Affiliate, including Non-Employee Directors ; (iii) consultant or advisor to the Company or an Affiliate who may be offered securities registrable pursuant to a registration statement on Form S-8 under the Securities Act; or (iv) any prospective employees, directors, officers, consultants or advisors who have accepted offers of employment or consultancy from the Company or one of its Affiliates (and would satisfy the provisions of clauses (i) through (iii) above once he or she begins employment with or providing services to the Company or one of its Affiliates), who, in the case of each of clauses (i), (ii), or (iv) above has entered into an Award agreement or who has received written notification from the Committee or its designee that they have been selected to participate in the Plan. Solely for purposes of this Section 2(t), “Affiliate” shall be limited to: (A) a Subsidiary; (B) any parent corporation of the Company within the meaning of Section 424(e) of the Code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(C) any corporation, trade or business of which fifty percent (50%) or more of the combined voting power of such entity’s outstanding securities is directly or indirectly controlled by the Company or any Subsidiary or Parent; or (D) any corporation, trade or business that, directly or indirectly, controls fifty percent (50%) or more of the combined voting power of the outstanding securities of the Company.</w:t>
      </w:r>
    </w:p>
    <w:p>
      <w:pPr>
        <w:spacing w:after="0" w:line="191" w:lineRule="exact"/>
        <w:rPr>
          <w:rFonts w:ascii="Times New Roman" w:cs="Times New Roman" w:eastAsia="Times New Roman" w:hAnsi="Times New Roman"/>
          <w:sz w:val="18"/>
          <w:szCs w:val="18"/>
          <w:color w:val="auto"/>
        </w:rPr>
      </w:pPr>
    </w:p>
    <w:p>
      <w:pPr>
        <w:jc w:val="both"/>
        <w:ind w:firstLine="656"/>
        <w:spacing w:after="0" w:line="266" w:lineRule="auto"/>
        <w:tabs>
          <w:tab w:leader="none" w:pos="903"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any successor thereto. Reference in the Plan to any section of (or rule promulgated under) the Exchange Act shall be deemed to include any rules, regulations or other interpretative guidance under such section or rule, and any amendments or successor provisions to such section, rules, regulations or guidance.</w:t>
      </w:r>
    </w:p>
    <w:p>
      <w:pPr>
        <w:spacing w:after="0" w:line="175"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has the meaning given such term in Section 7(b) of the Plan.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1" w:name="page62"/>
    <w:bookmarkEnd w:id="61"/>
    <w:p>
      <w:pPr>
        <w:jc w:val="both"/>
        <w:ind w:firstLine="656"/>
        <w:spacing w:after="0" w:line="256" w:lineRule="auto"/>
        <w:tabs>
          <w:tab w:leader="none" w:pos="90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means, on a given date, if (i) the Common Stock is listed on a national securities exchange, the closing sales price of the Common Stock reported on the primary securities exchange on which the Common Stock is listed and traded on such date, or, if there are no such sales on that date, then on the last preceding date on which such sales were reported; (ii) the Common Stock is not listed on any national securities exchange but is quoted in an inter-dealer quotation system on a last sale basis, the average between the closing bid price and closing ask price reported on such date, or, if there is no such sale on that date, then on the last preceding date on which a sale was reported; or (iii) the Common Stock is not listed on a national securities exchange or quoted in an inter-dealer quotation system on a last sale basis, an amount not less than the current net asset value.</w:t>
      </w:r>
    </w:p>
    <w:p>
      <w:pPr>
        <w:spacing w:after="0" w:line="187"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Immediate Family Members</w:t>
      </w:r>
      <w:r>
        <w:rPr>
          <w:rFonts w:ascii="Times New Roman" w:cs="Times New Roman" w:eastAsia="Times New Roman" w:hAnsi="Times New Roman"/>
          <w:sz w:val="18"/>
          <w:szCs w:val="18"/>
          <w:color w:val="auto"/>
        </w:rPr>
        <w:t>” has the meaning given such term in Section 12(b) of the Plan.</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89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Incentive Stock Option</w:t>
      </w:r>
      <w:r>
        <w:rPr>
          <w:rFonts w:ascii="Times New Roman" w:cs="Times New Roman" w:eastAsia="Times New Roman" w:hAnsi="Times New Roman"/>
          <w:sz w:val="18"/>
          <w:szCs w:val="18"/>
          <w:color w:val="auto"/>
        </w:rPr>
        <w:t>” means an Option that is designated by the Committee as an incentive stock option as described in Section 422 of the Code and otherwise meets the requirements set forth in the Plan.</w:t>
      </w:r>
    </w:p>
    <w:p>
      <w:pPr>
        <w:spacing w:after="0" w:line="162" w:lineRule="exact"/>
        <w:rPr>
          <w:sz w:val="20"/>
          <w:szCs w:val="20"/>
          <w:color w:val="auto"/>
        </w:rPr>
      </w:pPr>
    </w:p>
    <w:p>
      <w:pPr>
        <w:ind w:left="980" w:hanging="324"/>
        <w:spacing w:after="0"/>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Indemnifiable Person</w:t>
      </w:r>
      <w:r>
        <w:rPr>
          <w:rFonts w:ascii="Times New Roman" w:cs="Times New Roman" w:eastAsia="Times New Roman" w:hAnsi="Times New Roman"/>
          <w:sz w:val="18"/>
          <w:szCs w:val="18"/>
          <w:color w:val="auto"/>
        </w:rPr>
        <w:t>” has the meaning given such term in Section 4(e) of the Plan.</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ISO Entity</w:t>
      </w:r>
      <w:r>
        <w:rPr>
          <w:rFonts w:ascii="Times New Roman" w:cs="Times New Roman" w:eastAsia="Times New Roman" w:hAnsi="Times New Roman"/>
          <w:sz w:val="18"/>
          <w:szCs w:val="18"/>
          <w:color w:val="auto"/>
        </w:rPr>
        <w:t>” has the meaning given such term in Section 7(a) of the Plan.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Nonqualified Stock Option</w:t>
      </w:r>
      <w:r>
        <w:rPr>
          <w:rFonts w:ascii="Times New Roman" w:cs="Times New Roman" w:eastAsia="Times New Roman" w:hAnsi="Times New Roman"/>
          <w:sz w:val="18"/>
          <w:szCs w:val="18"/>
          <w:color w:val="auto"/>
        </w:rPr>
        <w:t>” means an Option that is not designated by the Committee as an Incentive Stock Option.</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Non-Employee Director</w:t>
      </w:r>
      <w:r>
        <w:rPr>
          <w:rFonts w:ascii="Times New Roman" w:cs="Times New Roman" w:eastAsia="Times New Roman" w:hAnsi="Times New Roman"/>
          <w:sz w:val="18"/>
          <w:szCs w:val="18"/>
          <w:color w:val="auto"/>
        </w:rPr>
        <w:t>” means a member of the Board who is not an employee of the Company or any Affiliate.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means an Award granted under Section 7 of the Plan.</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 Period</w:t>
      </w:r>
      <w:r>
        <w:rPr>
          <w:rFonts w:ascii="Times New Roman" w:cs="Times New Roman" w:eastAsia="Times New Roman" w:hAnsi="Times New Roman"/>
          <w:sz w:val="18"/>
          <w:szCs w:val="18"/>
          <w:color w:val="auto"/>
        </w:rPr>
        <w:t>” has the meaning given such term in Section 7(c) of the Plan.</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Stock-Based Award</w:t>
      </w:r>
      <w:r>
        <w:rPr>
          <w:rFonts w:ascii="Times New Roman" w:cs="Times New Roman" w:eastAsia="Times New Roman" w:hAnsi="Times New Roman"/>
          <w:sz w:val="18"/>
          <w:szCs w:val="18"/>
          <w:color w:val="auto"/>
        </w:rPr>
        <w:t>” means an Award granted under Section 9(a) of the Plan.</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Outstanding Equity Grants</w:t>
      </w:r>
      <w:r>
        <w:rPr>
          <w:rFonts w:ascii="Times New Roman" w:cs="Times New Roman" w:eastAsia="Times New Roman" w:hAnsi="Times New Roman"/>
          <w:sz w:val="18"/>
          <w:szCs w:val="18"/>
          <w:color w:val="auto"/>
        </w:rPr>
        <w:t>” has the meaning given such term in Section 5(g) of the Plan.</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means an Eligible Person who has been selected by the Committee to participate in the Plan and to receive an Award pursuant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Plan.</w:t>
      </w:r>
    </w:p>
    <w:p>
      <w:pPr>
        <w:spacing w:after="0" w:line="207" w:lineRule="exact"/>
        <w:rPr>
          <w:sz w:val="20"/>
          <w:szCs w:val="20"/>
          <w:color w:val="auto"/>
        </w:rPr>
      </w:pPr>
    </w:p>
    <w:p>
      <w:pPr>
        <w:ind w:firstLine="656"/>
        <w:spacing w:after="0" w:line="282" w:lineRule="auto"/>
        <w:tabs>
          <w:tab w:leader="none" w:pos="92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Compensation Award</w:t>
      </w:r>
      <w:r>
        <w:rPr>
          <w:rFonts w:ascii="Times New Roman" w:cs="Times New Roman" w:eastAsia="Times New Roman" w:hAnsi="Times New Roman"/>
          <w:sz w:val="18"/>
          <w:szCs w:val="18"/>
          <w:color w:val="auto"/>
        </w:rPr>
        <w:t>” means any Award designated by the Committee as a Performance Compensation Award pursuant to Section 9 of the Plan.</w:t>
      </w:r>
    </w:p>
    <w:p>
      <w:pPr>
        <w:spacing w:after="0" w:line="161"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Periodic Grant Amount</w:t>
      </w:r>
      <w:r>
        <w:rPr>
          <w:rFonts w:ascii="Times New Roman" w:cs="Times New Roman" w:eastAsia="Times New Roman" w:hAnsi="Times New Roman"/>
          <w:sz w:val="18"/>
          <w:szCs w:val="18"/>
          <w:color w:val="auto"/>
        </w:rPr>
        <w:t>” has the meaning given such term in Section 8(b) of the Plan.</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Transferee</w:t>
      </w:r>
      <w:r>
        <w:rPr>
          <w:rFonts w:ascii="Times New Roman" w:cs="Times New Roman" w:eastAsia="Times New Roman" w:hAnsi="Times New Roman"/>
          <w:sz w:val="18"/>
          <w:szCs w:val="18"/>
          <w:color w:val="auto"/>
        </w:rPr>
        <w:t>” has the meaning given such term in Section 12(b) of the Plan.</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10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entity or group (within the meaning of Section 13(d)(3) or Section 14(d)(2) of the Exchange Act, or any successor provision).</w:t>
      </w:r>
    </w:p>
    <w:p>
      <w:pPr>
        <w:spacing w:after="0" w:line="161"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this SuRo Capital Corp. Second Amended and Restated 2019 Equity Incentive Plan, as it may be amended from time to time.</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9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 means the period of time determined by the Committee during which an Award is subject to restrictions or, as applicable, the period of time within which performance is measured for purposes of determining whether an Award has been earned.</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Share</w:t>
      </w:r>
      <w:r>
        <w:rPr>
          <w:rFonts w:ascii="Times New Roman" w:cs="Times New Roman" w:eastAsia="Times New Roman" w:hAnsi="Times New Roman"/>
          <w:sz w:val="18"/>
          <w:szCs w:val="18"/>
          <w:color w:val="auto"/>
        </w:rPr>
        <w:t>” means a share of Common Stock, subject to certain specified restrictions (which may include, without limitation, a requirement that the Participant provide Continuous Services for a specified period of time), granted under Section 8 of the Plan.</w:t>
      </w:r>
    </w:p>
    <w:p>
      <w:pPr>
        <w:spacing w:after="0" w:line="161"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Stock Unit</w:t>
      </w:r>
      <w:r>
        <w:rPr>
          <w:rFonts w:ascii="Times New Roman" w:cs="Times New Roman" w:eastAsia="Times New Roman" w:hAnsi="Times New Roman"/>
          <w:sz w:val="18"/>
          <w:szCs w:val="18"/>
          <w:color w:val="auto"/>
        </w:rPr>
        <w:t>” means an unfunded and unsecured promise to deliver shares of Common Stock, cash, other securities or other property, subject to certain restrictions (which may include, without limitation, a requirement that the Participant provide Continuous Services for a specified period of time), granted under Section 8 of the Plan.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2" w:name="page63"/>
    <w:bookmarkEnd w:id="62"/>
    <w:p>
      <w:pPr>
        <w:jc w:val="both"/>
        <w:ind w:firstLine="656"/>
        <w:spacing w:after="0" w:line="266" w:lineRule="auto"/>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any successor thereto. Reference in the Plan to any section of (or rule promulgated under) the Securities Act shall be deemed to include any rules, regulations or other interpretative guidance under such section or rule, and any amendments or successor provisions to such section, rules, regulations or guidance.</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5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Service Recipient</w:t>
      </w:r>
      <w:r>
        <w:rPr>
          <w:rFonts w:ascii="Times New Roman" w:cs="Times New Roman" w:eastAsia="Times New Roman" w:hAnsi="Times New Roman"/>
          <w:sz w:val="18"/>
          <w:szCs w:val="18"/>
          <w:color w:val="auto"/>
        </w:rPr>
        <w:t>” means, with respect to a Participant holding a given Award, either the Company or an Affiliate of the Company by which the original recipient of such Award is, or following a Termination was most recently, principally employed or to which such original recipient provides, or following a Termination was most recently providing, services, as applicable.</w:t>
      </w:r>
    </w:p>
    <w:p>
      <w:pPr>
        <w:spacing w:after="0" w:line="17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specified Person:</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23"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association or other business entity of which more than fifty percent (50%) of the total voting power of shares of such entity’s voting securities (without regard to the occurrence of any contingency and after giving effect to any voting agreement or stockholders’ agreement that effectively transfers voting power) is at the time owned or controlled, directly or indirectly, by that Person or one or more of the other Subsidiaries of that Person (or a combination thereof); and</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91"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partnership (or any comparable foreign entity) (A) the sole general partner (or functional equivalent thereof) or the managing general partner of which is such Person or Subsidiary of such Person or (B) the only general partners (or functional equivalents thereof) of which are that Person or one or more Subsidiaries of that Person (or any combination thereof).</w:t>
      </w:r>
    </w:p>
    <w:p>
      <w:pPr>
        <w:spacing w:after="0" w:line="17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Substitute Award</w:t>
      </w:r>
      <w:r>
        <w:rPr>
          <w:rFonts w:ascii="Times New Roman" w:cs="Times New Roman" w:eastAsia="Times New Roman" w:hAnsi="Times New Roman"/>
          <w:sz w:val="18"/>
          <w:szCs w:val="18"/>
          <w:color w:val="auto"/>
        </w:rPr>
        <w:t>” has the meaning given such term in Section 5(e) of the Plan.</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99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Sub-Plans</w:t>
      </w:r>
      <w:r>
        <w:rPr>
          <w:rFonts w:ascii="Times New Roman" w:cs="Times New Roman" w:eastAsia="Times New Roman" w:hAnsi="Times New Roman"/>
          <w:sz w:val="18"/>
          <w:szCs w:val="18"/>
          <w:color w:val="auto"/>
        </w:rPr>
        <w:t>” means, any sub-plan to this Plan that has been adopted by the Board or the Committee for the purpose of permitting the offering of Awards to employees of certain Designated Foreign Subsidiaries or otherwise outside the United States, with each such sub-plan designed to comply with local laws applicable to offerings in such foreign jurisdictions. Although any Sub-Plan may be designated a separate and independent plan from the Plan in order to comply with applicable local laws, the Absolute Share Limit shall apply in the aggregate to the Plan and any Sub-Plan adopted hereunder.</w:t>
      </w:r>
    </w:p>
    <w:p>
      <w:pPr>
        <w:spacing w:after="0" w:line="179"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means the termination of a Participant’s employment or service, as applicable, with the Service Recipient.</w:t>
      </w:r>
    </w:p>
    <w:p>
      <w:pPr>
        <w:spacing w:after="0" w:line="221" w:lineRule="exact"/>
        <w:rPr>
          <w:sz w:val="20"/>
          <w:szCs w:val="20"/>
          <w:color w:val="auto"/>
        </w:rPr>
      </w:pPr>
    </w:p>
    <w:p>
      <w:pPr>
        <w:jc w:val="both"/>
        <w:ind w:firstLine="656"/>
        <w:spacing w:after="0" w:line="268" w:lineRule="auto"/>
        <w:tabs>
          <w:tab w:leader="none" w:pos="846"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Effective Date; Duration</w:t>
      </w:r>
      <w:r>
        <w:rPr>
          <w:rFonts w:ascii="Times New Roman" w:cs="Times New Roman" w:eastAsia="Times New Roman" w:hAnsi="Times New Roman"/>
          <w:sz w:val="18"/>
          <w:szCs w:val="18"/>
          <w:color w:val="auto"/>
        </w:rPr>
        <w:t>. The Plan shall be effective as of the Effective Date. The expiration date of the Plan, on and after which date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Awards may be granted hereunder, shall be the tenth (10th) anniversary of the Effective Date;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such expiration shall not affect Awards then outstanding, and the terms and conditions of the Plan shall continue to apply to such Awards.</w:t>
      </w:r>
    </w:p>
    <w:p>
      <w:pPr>
        <w:spacing w:after="0" w:line="170" w:lineRule="exact"/>
        <w:rPr>
          <w:rFonts w:ascii="Times New Roman" w:cs="Times New Roman" w:eastAsia="Times New Roman" w:hAnsi="Times New Roman"/>
          <w:sz w:val="18"/>
          <w:szCs w:val="18"/>
          <w:b w:val="1"/>
          <w:bCs w:val="1"/>
          <w:color w:val="auto"/>
        </w:rPr>
      </w:pPr>
    </w:p>
    <w:p>
      <w:pPr>
        <w:ind w:left="820" w:hanging="164"/>
        <w:spacing w:after="0"/>
        <w:tabs>
          <w:tab w:leader="none" w:pos="82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Administration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900" w:hanging="244"/>
        <w:spacing w:after="0"/>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w:t>
      </w:r>
      <w:r>
        <w:rPr>
          <w:rFonts w:ascii="Times New Roman" w:cs="Times New Roman" w:eastAsia="Times New Roman" w:hAnsi="Times New Roman"/>
          <w:sz w:val="18"/>
          <w:szCs w:val="18"/>
          <w:color w:val="auto"/>
        </w:rPr>
        <w:t>. As provided in Section 4(c), the Board has delegated the administration of the Plan to the Committee.</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Powers of the Committee</w:t>
      </w:r>
      <w:r>
        <w:rPr>
          <w:rFonts w:ascii="Times New Roman" w:cs="Times New Roman" w:eastAsia="Times New Roman" w:hAnsi="Times New Roman"/>
          <w:sz w:val="18"/>
          <w:szCs w:val="18"/>
          <w:color w:val="auto"/>
        </w:rPr>
        <w:t>. The Committee shall have the power, subject to the express provisions of the Plan and applicable law:</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31"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from time to time: which of the Eligible Persons shall be granted Awards; when and how each Award shall be granted and documented; what type or combination of types of Awards shall be granted; the provisions of each Award granted, including the time or times when a person shall be permitted to exercise an Award; and the number of shares of Common Stock with respect to which an Award shall be granted to each such person.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3" w:name="page64"/>
    <w:bookmarkEnd w:id="63"/>
    <w:p>
      <w:pPr>
        <w:jc w:val="both"/>
        <w:ind w:left="660" w:firstLine="644"/>
        <w:spacing w:after="0" w:line="261" w:lineRule="auto"/>
        <w:tabs>
          <w:tab w:leader="none" w:pos="157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construe and interpret the Plan, Awards granted under it, and any Award documentation and reconcile any inconsistency in, correct any defect in and/or supply any omission in any Award documentation. To establish, amend and revoke rules and regulations for the administration of the Plan and Awards. The Committee, in the exercise of this power, may correct any defect, omission or inconsistency in the Plan or in any Award documentation, in such manner and to such extent as it shall deem necessary or expedient to make the Plan fully effective.</w:t>
      </w:r>
    </w:p>
    <w:p>
      <w:pPr>
        <w:spacing w:after="0" w:line="179" w:lineRule="exact"/>
        <w:rPr>
          <w:rFonts w:ascii="Times New Roman" w:cs="Times New Roman" w:eastAsia="Times New Roman" w:hAnsi="Times New Roman"/>
          <w:sz w:val="18"/>
          <w:szCs w:val="18"/>
          <w:color w:val="auto"/>
        </w:rPr>
      </w:pPr>
    </w:p>
    <w:p>
      <w:pPr>
        <w:jc w:val="both"/>
        <w:ind w:left="660" w:right="20" w:firstLine="644"/>
        <w:spacing w:after="0" w:line="266" w:lineRule="auto"/>
        <w:tabs>
          <w:tab w:leader="none" w:pos="162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whether, to what extent, and under what circumstances Awards may be settled or exercised in cash, shares of Common Stock, other securities, other Awards or other property, or canceled, forfeited, or suspended and the method or methods by which Awards may be settled, exercised, canceled, forfeited, or suspended.</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61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whether, to what extent, and under what circumstances the delivery of cash, shares of Common Stock, other securities, other Awards or other property and other amounts payable with respect to an Award shall be deferred either automatically or at the election of the Participant or of the Committee.</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15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amend, suspend, or waive any rules and regulations and appoint such agents as the Committee shall deem appropriate for the proper administration of the Plan.</w:t>
      </w:r>
    </w:p>
    <w:p>
      <w:pPr>
        <w:spacing w:after="0" w:line="161"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adopt Sub-Plans.</w:t>
      </w:r>
    </w:p>
    <w:p>
      <w:pPr>
        <w:spacing w:after="0" w:line="225"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amend an Award as provided in Section 11 of the Plan.</w:t>
      </w:r>
    </w:p>
    <w:p>
      <w:pPr>
        <w:spacing w:after="0" w:line="22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72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to exercise such powers and to perform such acts as the Committee deems necessary or expedient to promote the best interests of the Company and its Affiliates and that are not in conflict with the provisions of the Plan.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Notwithstanding anything to the contrary contained in the Plan, the Board may, in its sole discretion, at any time and from time to time, grant Awards and administer the Plan with respect to such Awards and amend, suspend or terminate the Plan as provided in Section 11 of the Plan. Any such actions by the Board shall be subject to the applicable rules of the Nasdaq Capital Market or any other securities exchange or inter-dealer quotation system on which the Common Stock is listed or quoted. In any such case, the Board shall have all the authority granted to the Committee under the Plan.</w:t>
      </w:r>
    </w:p>
    <w:p>
      <w:pPr>
        <w:spacing w:after="0" w:line="180" w:lineRule="exact"/>
        <w:rPr>
          <w:sz w:val="20"/>
          <w:szCs w:val="20"/>
          <w:color w:val="auto"/>
        </w:rPr>
      </w:pPr>
    </w:p>
    <w:p>
      <w:pPr>
        <w:jc w:val="both"/>
        <w:ind w:firstLine="656"/>
        <w:spacing w:after="0" w:line="261" w:lineRule="auto"/>
        <w:tabs>
          <w:tab w:leader="none" w:pos="91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Delegation to Committee</w:t>
      </w:r>
      <w:r>
        <w:rPr>
          <w:rFonts w:ascii="Times New Roman" w:cs="Times New Roman" w:eastAsia="Times New Roman" w:hAnsi="Times New Roman"/>
          <w:sz w:val="18"/>
          <w:szCs w:val="18"/>
          <w:color w:val="auto"/>
        </w:rPr>
        <w:t>. The Board has delegated administration of the Plan to the Committee; provided that a “required majority,” as defined in Section 57(o) of the 1940 Act, must approve each issuance of Awards in accordance with Section 61(a)(4)(B)(i)(I) of the 1940 Act. The Board may rescind its delegation of authority to the Committee at any time and revest in the Board the administration of the Plan, in which case references herein to the Committee shall be to the Board.</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Except to the extent prohibited by applicable law or the applicable rules and regulations of any securities exchange or inter-dealer quotation system on which the securities of the Company are listed or traded, the Committee may allocate all or any portion of its responsibilities and powers to any one or more of its members and may delegate all or any part of its responsibilities and powers to any person or persons selected by it. Any such allocation or delegation may be revoked by the Committee at any time. Without limiting the generality of the foregoing, the Committee may delegate to one or more officers of the Company or any Affiliate the authority to act on behalf of the Committee with respect to any matter, right, obligation, or election that is the responsibility of or that is allocated to the Committee herein, and that may be so delegated as a matter of law, except for grants of Awards to persons who are Non-Employee Directors or otherwise are subject to Section 16 of the Exchange Act and provided that the grant of the Award complies with the 1940 Act. Unless otherwise expressly provided in the Plan, all designations, determinations, interpretations, and other decisions under or with respect to the Plan or any Award or any documents evidencing Awards granted pursuant to the Plan shall be within the sole discretion of the Committee, may be made at any time and shall be final, conclusive and binding upon all persons or entities, including, without limitation, the Company, any of its Affiliates, any Participant, any holder or beneficiary of any Award, and any stockholder of the Company.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4" w:name="page65"/>
    <w:bookmarkEnd w:id="64"/>
    <w:p>
      <w:pPr>
        <w:ind w:firstLine="656"/>
        <w:spacing w:after="0" w:line="282" w:lineRule="auto"/>
        <w:tabs>
          <w:tab w:leader="none" w:pos="90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Decision</w:t>
      </w:r>
      <w:r>
        <w:rPr>
          <w:rFonts w:ascii="Times New Roman" w:cs="Times New Roman" w:eastAsia="Times New Roman" w:hAnsi="Times New Roman"/>
          <w:sz w:val="18"/>
          <w:szCs w:val="18"/>
          <w:color w:val="auto"/>
        </w:rPr>
        <w:t>. Determinations, interpretations and constructions made by the Board or the Committee, as applicable, in good faith shall not be subject to review by any person and shall be final, binding and conclusive on all persons.</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1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member of the Board, the Committee or any employee or agent of the Company or any Affiliate (each such person, an “</w:t>
      </w:r>
      <w:r>
        <w:rPr>
          <w:rFonts w:ascii="Times New Roman" w:cs="Times New Roman" w:eastAsia="Times New Roman" w:hAnsi="Times New Roman"/>
          <w:sz w:val="18"/>
          <w:szCs w:val="18"/>
          <w:u w:val="single" w:color="auto"/>
          <w:color w:val="auto"/>
        </w:rPr>
        <w:t>Indemnifiable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shall be liable for any action taken or omitted to be taken or any determination made with respect to the Plan or any Award hereunder (unless constituting fraud or a willful criminal act or omission).</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5. Grant of Awards; Shares Subject to the Plan; Limitations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900" w:hanging="244"/>
        <w:spacing w:after="0"/>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from time to time, grant Awards to one or more Eligible Persons.</w:t>
      </w:r>
    </w:p>
    <w:p>
      <w:pPr>
        <w:spacing w:after="0" w:line="225" w:lineRule="exact"/>
        <w:rPr>
          <w:rFonts w:ascii="Times New Roman" w:cs="Times New Roman" w:eastAsia="Times New Roman" w:hAnsi="Times New Roman"/>
          <w:sz w:val="18"/>
          <w:szCs w:val="18"/>
          <w:color w:val="auto"/>
        </w:rPr>
      </w:pPr>
    </w:p>
    <w:p>
      <w:pPr>
        <w:jc w:val="both"/>
        <w:ind w:firstLine="656"/>
        <w:spacing w:after="0" w:line="254" w:lineRule="auto"/>
        <w:tabs>
          <w:tab w:leader="none" w:pos="91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adjustments as described under Section 10 of the Plan, the maximum aggregate number of Common Stock that may be authorized for issuance under the Plan is 2,355,185. Subject to the limitations set forth herein, Awards granted under the Plan shall be subject to the following limitations: (i) subject to Section 11 of the Plan, the total number of Awards available under the Plan shall be no more than ten percent (10%) of the outstanding shares of Common Stock as of the Effective Date (the “</w:t>
      </w:r>
      <w:r>
        <w:rPr>
          <w:rFonts w:ascii="Times New Roman" w:cs="Times New Roman" w:eastAsia="Times New Roman" w:hAnsi="Times New Roman"/>
          <w:sz w:val="18"/>
          <w:szCs w:val="18"/>
          <w:u w:val="single" w:color="auto"/>
          <w:color w:val="auto"/>
        </w:rPr>
        <w:t>Absolute Share Limit</w:t>
      </w:r>
      <w:r>
        <w:rPr>
          <w:rFonts w:ascii="Times New Roman" w:cs="Times New Roman" w:eastAsia="Times New Roman" w:hAnsi="Times New Roman"/>
          <w:sz w:val="18"/>
          <w:szCs w:val="18"/>
          <w:color w:val="auto"/>
        </w:rPr>
        <w:t>”); (ii) subject to Section 11 of the Plan, grants of Awards under the Plan in respect of no more than two and one-half percent (2.5%) of the outstanding shares of Common Stock as of the Effective Date may be made to any individual Participant during any single fiscal year of the Company; (iii) no more than the number of shares of Common Stock equal to the Absolute Share Limit may be issued in the aggregate pursuant to the exercise of Incentive Stock Options granted under the Plan; and (iv) each of the foregoing limits on the number of Awards shall be subject to adjustment under Section 10 of the Plan.</w:t>
      </w:r>
    </w:p>
    <w:p>
      <w:pPr>
        <w:spacing w:after="0" w:line="191" w:lineRule="exact"/>
        <w:rPr>
          <w:rFonts w:ascii="Times New Roman" w:cs="Times New Roman" w:eastAsia="Times New Roman" w:hAnsi="Times New Roman"/>
          <w:sz w:val="18"/>
          <w:szCs w:val="18"/>
          <w:color w:val="auto"/>
        </w:rPr>
      </w:pPr>
    </w:p>
    <w:p>
      <w:pPr>
        <w:jc w:val="both"/>
        <w:ind w:firstLine="656"/>
        <w:spacing w:after="0" w:line="252" w:lineRule="auto"/>
        <w:tabs>
          <w:tab w:leader="none" w:pos="91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with respect to Substitute Awards, to the extent that an Award expires or is canceled, forfeited, terminated, settled in cash, or otherwise is settled without delivery to the Participant of the full number of shares of Common Stock to which the Award related, the undelivered shares will again be available for grant;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in the case of an Incentive Stock Option, the forgoing shall be subject to any limitations under the Code. Shares of Common Stock withheld in payment of the Exercise Price or taxes relating to an Award and shares equal to the number of shares surrendered (either actually or by attestation) in payment of any Exercise Price, purchase price for an Award other than an Option, or taxes relating to an Award shall be deemed to constitute shares not issued to the Participant and shall be deemed to again be available for Awards under the Plan on a one-for-one basis;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the case of an Incentive Stock Option, the forgoing shall be subject to any limitations under the Code; and provided further, that such shares shall not become available for issuance hereunder if: (i) the applicable shares are withheld or surrendered following the termination of the Plan; (ii) at the time the applicable shares are withheld or surrendered, it would constitute a material revision of the Plan subject to stockholder approval under any then-applicable rules of the Nasdaq Global Select Market or other securities exchange or inter-dealer quotation system on which the Common Stock is listed or quoted, (iii) the applicable shares were tendered by the Participant in payment of the Exercise Price of an Option or purchase price for an Award other than an Option; (iv) the applicable shares were tendered by the Participant to satisfy any tax withholding obligation with respect to an Award, or (v) the applicable shares were reacquired by the Company on the open market or otherwise using cash proceeds from the exercise of Options or settlement of an Award.</w:t>
      </w:r>
    </w:p>
    <w:p>
      <w:pPr>
        <w:spacing w:after="0" w:line="197" w:lineRule="exact"/>
        <w:rPr>
          <w:rFonts w:ascii="Times New Roman" w:cs="Times New Roman" w:eastAsia="Times New Roman" w:hAnsi="Times New Roman"/>
          <w:sz w:val="18"/>
          <w:szCs w:val="18"/>
          <w:color w:val="auto"/>
        </w:rPr>
      </w:pPr>
    </w:p>
    <w:p>
      <w:pPr>
        <w:ind w:right="20" w:firstLine="656"/>
        <w:spacing w:after="0" w:line="282" w:lineRule="auto"/>
        <w:tabs>
          <w:tab w:leader="none" w:pos="91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issued by the Company in settlement of Awards may be authorized and unissued shares, shares held in the treasury of the Company, shares purchased on the open market or by private purchase or a combination of the foregoing.</w:t>
      </w:r>
    </w:p>
    <w:p>
      <w:pPr>
        <w:spacing w:after="0" w:line="161" w:lineRule="exact"/>
        <w:rPr>
          <w:rFonts w:ascii="Times New Roman" w:cs="Times New Roman" w:eastAsia="Times New Roman" w:hAnsi="Times New Roman"/>
          <w:sz w:val="18"/>
          <w:szCs w:val="18"/>
          <w:color w:val="auto"/>
        </w:rPr>
      </w:pPr>
    </w:p>
    <w:p>
      <w:pPr>
        <w:jc w:val="both"/>
        <w:ind w:firstLine="656"/>
        <w:spacing w:after="0" w:line="253" w:lineRule="auto"/>
        <w:tabs>
          <w:tab w:leader="none" w:pos="89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may, in the sole discretion of the Committee, be granted under the Plan in assumption of, or in substitution for, outstanding awards previously granted by an entity directly or indirectly acquired by the Company or with which the Company combines (“</w:t>
      </w:r>
      <w:r>
        <w:rPr>
          <w:rFonts w:ascii="Times New Roman" w:cs="Times New Roman" w:eastAsia="Times New Roman" w:hAnsi="Times New Roman"/>
          <w:sz w:val="18"/>
          <w:szCs w:val="18"/>
          <w:u w:val="single" w:color="auto"/>
          <w:color w:val="auto"/>
        </w:rPr>
        <w:t>Substitute Awards</w:t>
      </w:r>
      <w:r>
        <w:rPr>
          <w:rFonts w:ascii="Times New Roman" w:cs="Times New Roman" w:eastAsia="Times New Roman" w:hAnsi="Times New Roman"/>
          <w:sz w:val="18"/>
          <w:szCs w:val="18"/>
          <w:color w:val="auto"/>
        </w:rPr>
        <w:t xml:space="preserve">”). Subject to the applicable rules of the Nasdaq Capital Market or any other securities exchange or inter-dealer quotation system on which the Common Stock is listed or quoted, Substitute Awards shall not be counted against the Absolute Share Limit;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Substitute Awards issued in connection with the assumption of, or in substitution for, outstanding options intended to qualify as “incentive stock options” within the meaning of Section 422 of the Code shall be counted against the aggregate number of shares of Common Stock available for Awards of Incentive Stock Options under the Plan. Subject to the applicable rules of the Nasdaq Global Select Market or any other securities exchange or inter-dealer quotation system on which the Common Stock is listed or quoted, available shares under a stockholder approved plan of an entity directly or indirectly acquired by the Company or with which the Company combines (as appropriately adjusted to reflect the acquisition or combination transaction) may be used for Awards under the Plan and shall not reduce the number of shares of Common Stock available for issuance under the Plan.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5" w:name="page66"/>
    <w:bookmarkEnd w:id="65"/>
    <w:p>
      <w:pPr>
        <w:ind w:firstLine="656"/>
        <w:spacing w:after="0" w:line="282" w:lineRule="auto"/>
        <w:tabs>
          <w:tab w:leader="none" w:pos="87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Grants in Contravention of 1940 Act</w:t>
      </w:r>
      <w:r>
        <w:rPr>
          <w:rFonts w:ascii="Times New Roman" w:cs="Times New Roman" w:eastAsia="Times New Roman" w:hAnsi="Times New Roman"/>
          <w:sz w:val="18"/>
          <w:szCs w:val="18"/>
          <w:color w:val="auto"/>
        </w:rPr>
        <w:t>. No Award may be granted under the Plan if the grant of such Award would cause the Company to violate any section of the 1940 Act, and, if otherwise approved for grant, shall be void and of no effect.</w:t>
      </w:r>
    </w:p>
    <w:p>
      <w:pPr>
        <w:spacing w:after="0" w:line="161" w:lineRule="exact"/>
        <w:rPr>
          <w:rFonts w:ascii="Times New Roman" w:cs="Times New Roman" w:eastAsia="Times New Roman" w:hAnsi="Times New Roman"/>
          <w:sz w:val="18"/>
          <w:szCs w:val="18"/>
          <w:color w:val="auto"/>
        </w:rPr>
      </w:pPr>
    </w:p>
    <w:p>
      <w:pPr>
        <w:jc w:val="both"/>
        <w:ind w:firstLine="656"/>
        <w:spacing w:after="0" w:line="253" w:lineRule="auto"/>
        <w:tabs>
          <w:tab w:leader="none" w:pos="90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Limits on Number of Awards</w:t>
      </w:r>
      <w:r>
        <w:rPr>
          <w:rFonts w:ascii="Times New Roman" w:cs="Times New Roman" w:eastAsia="Times New Roman" w:hAnsi="Times New Roman"/>
          <w:sz w:val="18"/>
          <w:szCs w:val="18"/>
          <w:color w:val="auto"/>
        </w:rPr>
        <w:t>. Pursuant to Section 61(a)(4) of the 1940 Act, the amount of voting securities that would result from the exercise of all of the Company’s outstanding warrants, options, or rights, at the time of issuance, together with the settlement of any Restricted Stock Units and the vesting of any Restricted Shares, whether issued under the Plan or any other compensation plan of the Company (the “</w:t>
      </w:r>
      <w:r>
        <w:rPr>
          <w:rFonts w:ascii="Times New Roman" w:cs="Times New Roman" w:eastAsia="Times New Roman" w:hAnsi="Times New Roman"/>
          <w:sz w:val="18"/>
          <w:szCs w:val="18"/>
          <w:u w:val="single" w:color="auto"/>
          <w:color w:val="auto"/>
        </w:rPr>
        <w:t>Outstanding Equity Grants</w:t>
      </w:r>
      <w:r>
        <w:rPr>
          <w:rFonts w:ascii="Times New Roman" w:cs="Times New Roman" w:eastAsia="Times New Roman" w:hAnsi="Times New Roman"/>
          <w:sz w:val="18"/>
          <w:szCs w:val="18"/>
          <w:color w:val="auto"/>
        </w:rPr>
        <w:t xml:space="preserve">”), may not exceed twenty-five percent (25%) of the outstanding voting securities of the Company;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the amount of voting securities that would result from the exercise, settlement and vesting of all Awards issued to the Company’s directors and employees issued under the Plan or any other compensation plan of the Company, would exceed fifteen percent (15%) of the outstanding voting securities of the Company, then at the time of the grant of any Award, the total amount of voting securities that would result from the exercise of all Outstanding Equity Grants plus the new Award grant shall not exceed twenty percent (20%) of the outstanding voting securities of the Company. Shares granted pursuant to an Award of Restricted Shares or Restricted Stock Units that are used to settle tax withholding obligations pursuant to Section 12(c), or settled in cash, shall be included as “Restricted Shares issued” or “Restricted Stock Units granted” for purposes of the calculations set forth in this Section 5(g).</w:t>
      </w:r>
    </w:p>
    <w:p>
      <w:pPr>
        <w:spacing w:after="0" w:line="194" w:lineRule="exact"/>
        <w:rPr>
          <w:rFonts w:ascii="Times New Roman" w:cs="Times New Roman" w:eastAsia="Times New Roman" w:hAnsi="Times New Roman"/>
          <w:sz w:val="18"/>
          <w:szCs w:val="18"/>
          <w:color w:val="auto"/>
        </w:rPr>
      </w:pPr>
    </w:p>
    <w:p>
      <w:pPr>
        <w:ind w:firstLine="656"/>
        <w:spacing w:after="0" w:line="282" w:lineRule="auto"/>
        <w:tabs>
          <w:tab w:leader="none" w:pos="93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Date of Award’s Grant</w:t>
      </w:r>
      <w:r>
        <w:rPr>
          <w:rFonts w:ascii="Times New Roman" w:cs="Times New Roman" w:eastAsia="Times New Roman" w:hAnsi="Times New Roman"/>
          <w:sz w:val="18"/>
          <w:szCs w:val="18"/>
          <w:color w:val="auto"/>
        </w:rPr>
        <w:t>. The date on which the “required majority,” as defined in Section 57(o) of the 1940 Act, and as described in Section 4(c) of the Plan, approves the issuance of an Award will be deemed the date on which such Award is granted.</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86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Section 16 of the Exchange Act.</w:t>
      </w:r>
      <w:r>
        <w:rPr>
          <w:rFonts w:ascii="Times New Roman" w:cs="Times New Roman" w:eastAsia="Times New Roman" w:hAnsi="Times New Roman"/>
          <w:sz w:val="18"/>
          <w:szCs w:val="18"/>
          <w:color w:val="auto"/>
        </w:rPr>
        <w:t xml:space="preserve"> With respect to persons subject to Section 16 of the Exchange Act, transactions under the Plan are intended to comply with all applicable conditions of Rule 16b-3 or its successor under the Exchange Act. To the extent any provision of the Plan or action by the Committee fails to so comply, it shall be deemed to be modified so as to be in compliance with such Rule or, if such modification is not possible, it shall be deemed to be null and void, to the extent permitted by law and deemed advisable by the Committee.</w:t>
      </w:r>
    </w:p>
    <w:p>
      <w:pPr>
        <w:spacing w:after="0" w:line="176" w:lineRule="exact"/>
        <w:rPr>
          <w:sz w:val="20"/>
          <w:szCs w:val="20"/>
          <w:color w:val="auto"/>
        </w:rPr>
      </w:pPr>
    </w:p>
    <w:p>
      <w:pPr>
        <w:ind w:left="840" w:hanging="184"/>
        <w:spacing w:after="0"/>
        <w:tabs>
          <w:tab w:leader="none" w:pos="84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Eligibility</w:t>
      </w:r>
      <w:r>
        <w:rPr>
          <w:rFonts w:ascii="Times New Roman" w:cs="Times New Roman" w:eastAsia="Times New Roman" w:hAnsi="Times New Roman"/>
          <w:sz w:val="18"/>
          <w:szCs w:val="18"/>
          <w:color w:val="auto"/>
        </w:rPr>
        <w:t>. Participation in the Plan shall be limited to Eligible Persons.</w:t>
      </w:r>
    </w:p>
    <w:p>
      <w:pPr>
        <w:spacing w:after="0" w:line="225" w:lineRule="exact"/>
        <w:rPr>
          <w:rFonts w:ascii="Times New Roman" w:cs="Times New Roman" w:eastAsia="Times New Roman" w:hAnsi="Times New Roman"/>
          <w:sz w:val="18"/>
          <w:szCs w:val="18"/>
          <w:b w:val="1"/>
          <w:bCs w:val="1"/>
          <w:color w:val="auto"/>
        </w:rPr>
      </w:pPr>
    </w:p>
    <w:p>
      <w:pPr>
        <w:ind w:left="840" w:hanging="184"/>
        <w:spacing w:after="0"/>
        <w:tabs>
          <w:tab w:leader="none" w:pos="84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56"/>
        <w:spacing w:after="0" w:line="252" w:lineRule="auto"/>
        <w:tabs>
          <w:tab w:leader="none" w:pos="89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xml:space="preserve">. Each Option granted under the Plan shall be evidenced by an Award agreement, in written or electronic form, which agreement need not be the same for each Participant. Each Option so granted shall be subject to the conditions set forth in this Section 7, and to such other conditions not inconsistent with the Plan as may be reflected in the applicable Award agreement. All Options granted under the Plan shall be Nonqualified Stock Options unless the applicable Award agreement expressly states that the Option is intended to be an Incentive Stock Option. Incentive Stock Options shall be granted only to Eligible Persons who are employees of the Company or any of the Company’s present or future parent or subsidiary corporations, as defined in Section 424(e) or (f) of the Code, or other Affiliates the employees of which are eligible to receive Incentive Stock Options under the Code (each an “ISO Entity”); and no Incentive Stock Option shall be granted to any Eligible Person who is ineligible to receive an Incentive Stock Option under the Code. No Option shall be treated as an Incentive Stock Option unless the Plan has been approved by the stockholders of the Company in a manner intended to comply with the stockholder approval requirements of Section 422(b)(1) of the Code;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any Option intended to be an Incentive Stock Option shall not fail to be effective solely on account of a failure to obtain such approval, but rather such Option shall be treated as a Nonqualified Stock Option unless and until such approval is obtained. In the case of an Incentive Stock Option, the terms and conditions of such grant shall be subject to and comply with such rules as may be prescribed by Section 422 of the Code. If for any reason an Option intended to be an Incentive Stock Option (or any portion thereof) shall not qualify as an Incentive Stock Option, then, to the extent of such nonqualification, such Option or portion thereof shall be regarded as a Nonqualified Stock Option appropriately granted under the Plan. No Incentive Stock Option may be granted more than ten (10) years from the date the Plan is adopted, or the date the Plan is approved by the stockholders, whichever is earlier.</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6" w:name="page67"/>
    <w:bookmarkEnd w:id="66"/>
    <w:p>
      <w:pPr>
        <w:jc w:val="both"/>
        <w:ind w:firstLine="656"/>
        <w:spacing w:after="0" w:line="255" w:lineRule="auto"/>
        <w:tabs>
          <w:tab w:leader="none" w:pos="91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Except as otherwise provided by the Committee in the case of Substitute Awards, the exercise price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xml:space="preserve">”) per share of Common Stock for each Option shall not be less than one hundred percent (100%) of the Fair Market Value of such share (determined as of the Date of Grant);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the case of an Incentive Stock Option granted to an employee who, at the time of the grant of such Option, owns stock representing more than ten percent (10%) of the voting power of all classes of stock of the Company or any ISO Entity, the Exercise Price per share shall be no less than one hundred ten percent (110%) of the Fair Market Value per share on the Date of Grant. No action shall be taken that would be treated as a repricing under the rules and regulations of the Nasdaq Capital Market or any other securities exchange or inter-dealer quotation system on which the shares of Common Stock are listed, or if not listed quoted, or is otherwise prohibited by the 1940 Act.</w:t>
      </w:r>
    </w:p>
    <w:p>
      <w:pPr>
        <w:spacing w:after="0" w:line="188"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and Expiration; Termination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5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Options shall vest and become exercisable in such manner and on such date or dates or upon such events as determined by the Committee;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notwithstanding any such vesting dates or events, the Committee may in its sole discretion accelerate the vesting of any Options at any time and for any reason.</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1592"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shall expire upon a date determined by the Committee, not to exceed ten (10) years from the Date of Grant (the “</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Period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a ten (10) year Option Period (other than in the case of an Incentive Stock Option) would expire at a time when trading in the shares of Common Stock is prohibited by the Company’s insider trading policy (or Company-imposed “blackout period”), then the Option Period shall be automatically extended until the thirtieth (30th) day following the expiration of such prohibition except to the extent such extension would subject the Option to adverse tax consequences under Section 409A of the Code. Notwithstanding the foregoing, in no event shall the Option Period exceed five (5) years from the Date of Grant in the case of an Incentive Stock Option granted to an employee who on the Date of Grant owns stock representing more than ten percent (10%) of the voting power of all classes of stock of the Company or an ISO Entity.</w:t>
      </w:r>
    </w:p>
    <w:p>
      <w:pPr>
        <w:spacing w:after="0" w:line="191" w:lineRule="exact"/>
        <w:rPr>
          <w:rFonts w:ascii="Times New Roman" w:cs="Times New Roman" w:eastAsia="Times New Roman" w:hAnsi="Times New Roman"/>
          <w:sz w:val="18"/>
          <w:szCs w:val="18"/>
          <w:color w:val="auto"/>
        </w:rPr>
      </w:pPr>
    </w:p>
    <w:p>
      <w:pPr>
        <w:jc w:val="both"/>
        <w:ind w:left="660" w:firstLine="644"/>
        <w:spacing w:after="0" w:line="255" w:lineRule="auto"/>
        <w:tabs>
          <w:tab w:leader="none" w:pos="1648"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by the Committee, whether in an Award agreement or otherwise, in the event of: (A) a Participant’s Termination by the Service Recipient for Cause, all outstanding Options granted to such Participant shall immediately terminate and expire; (B) a Participant’s Termination due to death or Disability, each outstanding unvested Option granted to such Participant shall immediately terminate and expire, and each outstanding vested Option shall remain exercisable for one (1) year thereafter (but in no event beyond the expiration of the Option Period); and (C) a Participant’s Termination for any other reason, each outstanding unvested Option granted to such Participant shall immediately terminate and expire, and each outstanding vested Option shall remain exercisable for ninety (90) days thereafter (but in no event beyond the expiration of the Option Period).</w:t>
      </w:r>
    </w:p>
    <w:p>
      <w:pPr>
        <w:spacing w:after="0" w:line="188" w:lineRule="exact"/>
        <w:rPr>
          <w:rFonts w:ascii="Times New Roman" w:cs="Times New Roman" w:eastAsia="Times New Roman" w:hAnsi="Times New Roman"/>
          <w:sz w:val="18"/>
          <w:szCs w:val="18"/>
          <w:color w:val="auto"/>
        </w:rPr>
      </w:pPr>
    </w:p>
    <w:p>
      <w:pPr>
        <w:jc w:val="both"/>
        <w:ind w:firstLine="656"/>
        <w:spacing w:after="0" w:line="252" w:lineRule="auto"/>
        <w:tabs>
          <w:tab w:leader="none" w:pos="90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Exercise and Form of Payment</w:t>
      </w:r>
      <w:r>
        <w:rPr>
          <w:rFonts w:ascii="Times New Roman" w:cs="Times New Roman" w:eastAsia="Times New Roman" w:hAnsi="Times New Roman"/>
          <w:sz w:val="18"/>
          <w:szCs w:val="18"/>
          <w:color w:val="auto"/>
        </w:rPr>
        <w:t xml:space="preserve">. No shares of Common Stock shall be issued pursuant to any exercise of an Option until payment in full of the Exercise Price therefor is received by the Company and the Participant has paid to the Company an amount equal to any Federal, state, local and non-United States income, employment and any other applicable taxes required to be withheld. Options that have become exercisable may be exercised by delivery of written or electronic notice of exercise to the Company (or telephonic instructions to the extent provided by the Committee) in accordance with the terms of the Option accompanied by payment of the Exercise Price. The Exercise Price shall be payable: (i) in cash, check, cash equivalent and/or shares of Common Stock valued at the Fair Market Value at the time the Option is exercised (including, pursuant to procedures approved by the Committee, by means of attestation of ownership of a sufficient number of shares of Common Stock in lieu of actual issuance of such shares to the Company);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such shares of Common Stock are not subject to any pledge or other security interest; or (ii) by such other method as the Committee may permit in its sole discretion, including, without limitation, any one or more of the following: (A) in other property having a fair market value on the date of exercise equal to the Exercise Price; (B) if there is a public market for the shares of Common Stock at such time, by means of a broker-assisted “cashless exercise” pursuant to which the Company is delivered (including telephonically to the extent permitted by the Committee) a copy of irrevocable instructions to a stockbroker to sell the shares of Common Stock otherwise issuable upon the exercise of the Option and to deliver promptly to the Company an amount equal to the Exercise Price or (C) a “net exercise” procedure effected by withholding the minimum number of shares of Common Stock otherwise issuable in respect of an Option that are needed to pay the Exercise Price and all applicable required withholding and any other applicable taxes;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such payment is permitted by the 1940 Act and otherwise legally permissible. Shares of Common Stock subject to the Option will be delivered by the Company as soon as practicable following exercise and payment of the Exercise Price, subject to compliance with applicable law. If the Participant fails to pay for or to accept delivery of all or any part of the number of shares specified in the notice upon tender of delivery thereof, the right to exercise the Option with respect to those shares shall be terminated, unless the Committee otherwise agrees.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7" w:name="page68"/>
    <w:bookmarkEnd w:id="67"/>
    <w:p>
      <w:pPr>
        <w:jc w:val="both"/>
        <w:ind w:firstLine="656"/>
        <w:spacing w:after="0" w:line="255" w:lineRule="auto"/>
        <w:tabs>
          <w:tab w:leader="none" w:pos="89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 upon Disqualifying Disposition of an Incentive Stock Option</w:t>
      </w:r>
      <w:r>
        <w:rPr>
          <w:rFonts w:ascii="Times New Roman" w:cs="Times New Roman" w:eastAsia="Times New Roman" w:hAnsi="Times New Roman"/>
          <w:sz w:val="18"/>
          <w:szCs w:val="18"/>
          <w:color w:val="auto"/>
        </w:rPr>
        <w:t>. Each Participant awarded an Incentive Stock Option under the Plan shall notify the Company in writing immediately after the date he or she makes a disqualifying disposition of any Common Stock acquired pursuant to the exercise of such Incentive Stock Option. A disqualifying disposition is any disposition (including, without limitation, any sale) of such Common Stock before the later of (i) two (2) years after the Date of Grant of the Incentive Stock Option or (ii) one (1) year after the date of exercise of the Incentive Stock Option. The Company may, if determined by the Committee and in accordance with procedures established by the Committee, retain possession, as agent for the applicable Participant, of any Common Stock acquired pursuant to the exercise of an Incentive Stock Option until the end of the period described in the preceding sentence, subject to complying with any instructions from such Participant as to the sale of such Common Stock.</w:t>
      </w:r>
    </w:p>
    <w:p>
      <w:pPr>
        <w:spacing w:after="0" w:line="188" w:lineRule="exact"/>
        <w:rPr>
          <w:rFonts w:ascii="Times New Roman" w:cs="Times New Roman" w:eastAsia="Times New Roman" w:hAnsi="Times New Roman"/>
          <w:sz w:val="18"/>
          <w:szCs w:val="18"/>
          <w:color w:val="auto"/>
        </w:rPr>
      </w:pPr>
    </w:p>
    <w:p>
      <w:pPr>
        <w:ind w:firstLine="656"/>
        <w:spacing w:after="0" w:line="282" w:lineRule="auto"/>
        <w:tabs>
          <w:tab w:leader="none" w:pos="87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on Repurchase Rights</w:t>
      </w:r>
      <w:r>
        <w:rPr>
          <w:rFonts w:ascii="Times New Roman" w:cs="Times New Roman" w:eastAsia="Times New Roman" w:hAnsi="Times New Roman"/>
          <w:sz w:val="18"/>
          <w:szCs w:val="18"/>
          <w:color w:val="auto"/>
        </w:rPr>
        <w:t>. If an Option gives the Company the right to repurchase shares of Stock issued pursuant to the Plan, the terms of such repurchase right must comply with the 1940 Act.</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90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Laws, etc</w:t>
      </w:r>
      <w:r>
        <w:rPr>
          <w:rFonts w:ascii="Times New Roman" w:cs="Times New Roman" w:eastAsia="Times New Roman" w:hAnsi="Times New Roman"/>
          <w:sz w:val="18"/>
          <w:szCs w:val="18"/>
          <w:color w:val="auto"/>
        </w:rPr>
        <w:t>. Notwithstanding the foregoing, in no event shall a Participant be permitted to exercise an Option in a manner that the Committee determines would violate the Sarbanes-Oxley Act of 2002, as it may be amended from time to time, or any other applicable law or the applicable rules and regulations of the Commission or the applicable rules and regulations of any securities exchange or inter-dealer quotation system on which the securities of the Company are listed or traded.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8. Restricted Shares and Restricted Stock Units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56"/>
        <w:spacing w:after="0" w:line="266" w:lineRule="auto"/>
        <w:tabs>
          <w:tab w:leader="none" w:pos="90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Each grant of Restricted Shares and Restricted Stock Units shall be evidenced by an Award agreement. Each Restricted Share and Restricted Stock Unit so granted shall be subject to the conditions set forth in this Section 8, and to such other conditions not inconsistent with the Plan as may be reflected in the applicable Award agreement.</w:t>
      </w:r>
    </w:p>
    <w:p>
      <w:pPr>
        <w:spacing w:after="0" w:line="175" w:lineRule="exact"/>
        <w:rPr>
          <w:rFonts w:ascii="Times New Roman" w:cs="Times New Roman" w:eastAsia="Times New Roman" w:hAnsi="Times New Roman"/>
          <w:sz w:val="18"/>
          <w:szCs w:val="18"/>
          <w:color w:val="auto"/>
        </w:rPr>
      </w:pPr>
    </w:p>
    <w:p>
      <w:pPr>
        <w:jc w:val="both"/>
        <w:ind w:firstLine="656"/>
        <w:spacing w:after="0" w:line="258" w:lineRule="auto"/>
        <w:tabs>
          <w:tab w:leader="none" w:pos="90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Non-Employee Directors</w:t>
      </w:r>
      <w:r>
        <w:rPr>
          <w:rFonts w:ascii="Times New Roman" w:cs="Times New Roman" w:eastAsia="Times New Roman" w:hAnsi="Times New Roman"/>
          <w:sz w:val="18"/>
          <w:szCs w:val="18"/>
          <w:color w:val="auto"/>
        </w:rPr>
        <w:t>. Subject to the forfeiture restrictions set forth below, each Non-Employee Director shall automatically be granted that number of Restricted Shares equal to $50,000 divided by the closing price per share of Common Stock on the date of grant (the “</w:t>
      </w:r>
      <w:r>
        <w:rPr>
          <w:rFonts w:ascii="Times New Roman" w:cs="Times New Roman" w:eastAsia="Times New Roman" w:hAnsi="Times New Roman"/>
          <w:sz w:val="18"/>
          <w:szCs w:val="18"/>
          <w:u w:val="single" w:color="auto"/>
          <w:color w:val="auto"/>
        </w:rPr>
        <w:t>Periodic Grant Amount</w:t>
      </w:r>
      <w:r>
        <w:rPr>
          <w:rFonts w:ascii="Times New Roman" w:cs="Times New Roman" w:eastAsia="Times New Roman" w:hAnsi="Times New Roman"/>
          <w:sz w:val="18"/>
          <w:szCs w:val="18"/>
          <w:color w:val="auto"/>
        </w:rPr>
        <w:t>”), on the date of each of the Company’s Annual Meeting of Stockholders, and the forfeiture restrictions for such shares will lapse, if the Non-Employee Director is in Continuous Service through the anniversary of such grant (or, if earlier, the Annual Meeting of Stockholders that is closest to the anniversary of such grant).</w:t>
      </w:r>
    </w:p>
    <w:p>
      <w:pPr>
        <w:spacing w:after="0" w:line="183" w:lineRule="exact"/>
        <w:rPr>
          <w:rFonts w:ascii="Times New Roman" w:cs="Times New Roman" w:eastAsia="Times New Roman" w:hAnsi="Times New Roman"/>
          <w:sz w:val="18"/>
          <w:szCs w:val="18"/>
          <w:color w:val="auto"/>
        </w:rPr>
      </w:pPr>
    </w:p>
    <w:p>
      <w:pPr>
        <w:jc w:val="both"/>
        <w:ind w:firstLine="656"/>
        <w:spacing w:after="0" w:line="252" w:lineRule="auto"/>
        <w:tabs>
          <w:tab w:leader="none" w:pos="89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Certificates and Book-Entry; Escrow or Similar Arrangement</w:t>
      </w:r>
      <w:r>
        <w:rPr>
          <w:rFonts w:ascii="Times New Roman" w:cs="Times New Roman" w:eastAsia="Times New Roman" w:hAnsi="Times New Roman"/>
          <w:sz w:val="18"/>
          <w:szCs w:val="18"/>
          <w:color w:val="auto"/>
        </w:rPr>
        <w:t xml:space="preserve">. Upon the grant of Restricted Shares, the Committee shall cause a stock certificate registered in the name of the Participant to be issued or shall cause share(s) of Common Stock to be registered in the name of the Participant and held in book-entry form subject to the Company’s directions and, if the Committee determines that the Restricted Shares shall be held by the Company or in escrow rather than issued to the Participant pending the release of the applicable restrictions, the Committee may require the Participant to additionally execute and deliver to the Company (i) an escrow agreement satisfactory to the Committee, if applicable and (ii) the appropriate stock power (endorsed in blank) with respect to the Restricted Shares covered by such agreement. If a Participant shall fail to execute and deliver (in a manner permitted under Section 12(a) of the Plan or as otherwise determined by the Committee) an agreement evidencing an Award of Restricted Shares and, if applicable, an escrow agreement and blank stock power within the amount of time specified by the Committee, the Award shall be null and void. Subject to the restrictions set forth in this Section 8 and the applicable Award agreement, the Participant generally shall have the rights and privileges of a stockholder as to such Restricted Shares, including, without limitation, the right to vote such Restricted Shares;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the lapsing of restrictions with respect to any grant of Restricted Shares is contingent on satisfaction of performance conditions (other than or in addition to the passage of time), any dividends payable on such Restricted Shares shall be held by the Company and delivered (without interest) to the Participant within fifteen (15) days following the date on which the restrictions on such Restricted Shares lapse (and the right to any such accumulated dividends shall be forfeited upon the forfeiture of the Restricted Shares to which such dividends relate). To the extent Restricted Shares are forfeited, any stock certificates issued to the Participant evidencing such shares shall be returned to the Company, and all rights of the Participant to such shares and as a stockholder with respect thereto shall terminate without further obligation on the part of the Company.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8" w:name="page69"/>
    <w:bookmarkEnd w:id="68"/>
    <w:p>
      <w:pPr>
        <w:ind w:left="920" w:hanging="264"/>
        <w:spacing w:after="0"/>
        <w:tabs>
          <w:tab w:leader="none" w:pos="9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Period; Termination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37"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Restricted Period with respect to Restricted Shares and Restricted Stock Units shall lapse in such manner and on such date or dates or upon such events determined by the Committee;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notwithstanding any such dates or events, the Committee may in its sole discretion accelerate the lapse of the Restricted Period at any time and for any reason.</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81" w:lineRule="auto"/>
        <w:tabs>
          <w:tab w:leader="none" w:pos="1620"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otherwise provided by the Committee, whether in an Award agreement or otherwise, in the event of a Participant’s Termination for any reason prior to the time that such Participant’s Restricted Shares or Restricted Stock Units, as applicable, have vested (A) all vesting with respect to such Participant’s Restricted Shares or Restricted Stock Units shall cease and (B) unvested Restricted Shares and unvested Restricted Stock Units, as applicable, shall be forfeited to the Company by the Participant, for no consideration, as of the date of such Termination.</w:t>
      </w:r>
    </w:p>
    <w:p>
      <w:pPr>
        <w:spacing w:after="0" w:line="164" w:lineRule="exact"/>
        <w:rPr>
          <w:rFonts w:ascii="Times New Roman" w:cs="Times New Roman" w:eastAsia="Times New Roman" w:hAnsi="Times New Roman"/>
          <w:sz w:val="17"/>
          <w:szCs w:val="17"/>
          <w:color w:val="auto"/>
        </w:rPr>
      </w:pPr>
    </w:p>
    <w:p>
      <w:pPr>
        <w:ind w:left="900" w:hanging="244"/>
        <w:spacing w:after="0"/>
        <w:tabs>
          <w:tab w:leader="none" w:pos="9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Restricted Shares and Settlement of Restricted Stock Units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536"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expiration of the Restricted Period with respect to any Restricted Shares, the restrictions set forth in the applicable Award agreement shall be of no further force or effect with respect to such shares, except as set forth in the applicable Award agreement. If an escrow arrangement is used, upon such expiration, the Company shall issue to the Participant, or his or her beneficiary, without charge, the stock certificate (or, if applicable, a notice evidencing a book-entry notation) evidencing the Restricted Shares that have not then been forfeited and with respect to which the Restricted Period has expired, except as set forth in the applicable Award agreement.</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81"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by the Committee in an Award agreement or otherwise, upon the expiration of the Restricted Period with respect to any outstanding Restricted Stock Units, the Company shall issue to the Participant, or his or her beneficiary, without charge, one</w:t>
      </w:r>
    </w:p>
    <w:p>
      <w:pPr>
        <w:jc w:val="both"/>
        <w:ind w:left="6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share of Common Stock (or other securities or other property, as applicable) for each such outstanding Restricted Stock Unit;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Committee may, in its sole discretion, elect to (i) pay cash or part cash and part shares of Common Stock in lieu of issuing only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Common Stock in respect of such Restricted Stock Units; or (ii) defer the issuance of shares of Common Stock (or cash or part shares of Common Stock and part cash, as the case may be) beyond the expiration of the Restricted Period if such extension would not cause adverse tax consequences under Section 409A of the Code. If a cash payment is made in lieu of issuing shares of Common Stock, the amount of such payment shall be equal to the Fair Market Value of the Common Stock as of the date on which the Restricted Period lapsed with respect to such Restricted Stock Units.</w:t>
      </w:r>
    </w:p>
    <w:p>
      <w:pPr>
        <w:spacing w:after="0" w:line="188" w:lineRule="exact"/>
        <w:rPr>
          <w:rFonts w:ascii="Times New Roman" w:cs="Times New Roman" w:eastAsia="Times New Roman" w:hAnsi="Times New Roman"/>
          <w:sz w:val="18"/>
          <w:szCs w:val="18"/>
          <w:color w:val="auto"/>
        </w:rPr>
      </w:pPr>
    </w:p>
    <w:p>
      <w:pPr>
        <w:jc w:val="both"/>
        <w:ind w:firstLine="656"/>
        <w:spacing w:after="0" w:line="266" w:lineRule="auto"/>
        <w:tabs>
          <w:tab w:leader="none" w:pos="87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Legends on Restricted Shares</w:t>
      </w:r>
      <w:r>
        <w:rPr>
          <w:rFonts w:ascii="Times New Roman" w:cs="Times New Roman" w:eastAsia="Times New Roman" w:hAnsi="Times New Roman"/>
          <w:sz w:val="18"/>
          <w:szCs w:val="18"/>
          <w:color w:val="auto"/>
        </w:rPr>
        <w:t>. Each certificate (or entries in the case of book-entry form), if any, representing Restricted Shares awarded under the Plan, shall bear a legend substantially in the form of the following, in addition to any other information the Company deems appropriate, until the lapse of all restrictions with respect to such shares of Common Stock:</w:t>
      </w:r>
    </w:p>
    <w:p>
      <w:pPr>
        <w:spacing w:after="0" w:line="17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TRANSFER OF THIS CERTIFICATE AND THE SHARES REPRESENTED HEREBY IS RESTRICTED PURSUANT TO THE TERMS OF THE SURO CAPITAL CORP. AMENDED AND RESTATED 2019 EQUITY INCENTIVE PLAN AND A RESTRICTED SHARE AWARD AGREEMENT BETWEEN SURO CAPITAL CORP. AND THE STOCKHOLDER. A COPY OF SUCH PLAN AND AWARD AGREEMENT IS ON FILE AT THE PRINCIPAL EXECUTIVE OFFICES OF SURO CAPITAL CORP.</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9" w:name="page70"/>
    <w:bookmarkEnd w:id="69"/>
    <w:p>
      <w:pPr>
        <w:jc w:val="both"/>
        <w:ind w:firstLine="656"/>
        <w:spacing w:after="0" w:line="253" w:lineRule="auto"/>
        <w:tabs>
          <w:tab w:leader="none" w:pos="91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Equivalents</w:t>
      </w:r>
      <w:r>
        <w:rPr>
          <w:rFonts w:ascii="Times New Roman" w:cs="Times New Roman" w:eastAsia="Times New Roman" w:hAnsi="Times New Roman"/>
          <w:sz w:val="18"/>
          <w:szCs w:val="18"/>
          <w:color w:val="auto"/>
        </w:rPr>
        <w:t>. The Committee may provide for dividend equivalents in respect of all outstanding Restricted Stock Units and, if so provided, any such dividend equivalents shall be in the form of share equivalents, unless otherwise provided by the Committee. Any such dividend equivalents, unless otherwise provided by the Committee, shall be deemed to be hypothetically reinvested at Fair Market Value in shares of Common Stock on the date on which any such dividend is paid by the Company on its Common Stock (“</w:t>
      </w:r>
      <w:r>
        <w:rPr>
          <w:rFonts w:ascii="Times New Roman" w:cs="Times New Roman" w:eastAsia="Times New Roman" w:hAnsi="Times New Roman"/>
          <w:sz w:val="18"/>
          <w:szCs w:val="18"/>
          <w:u w:val="single" w:color="auto"/>
          <w:color w:val="auto"/>
        </w:rPr>
        <w:t>Dividend Shares</w:t>
      </w:r>
      <w:r>
        <w:rPr>
          <w:rFonts w:ascii="Times New Roman" w:cs="Times New Roman" w:eastAsia="Times New Roman" w:hAnsi="Times New Roman"/>
          <w:sz w:val="18"/>
          <w:szCs w:val="18"/>
          <w:color w:val="auto"/>
        </w:rPr>
        <w:t>”). If dividend equivalents are not so reinvested, they shall be accumulated and paid (with or without interest credited on such cash, at the sole discretion of the Committee) in cash or at the sole discretion of the Committee, in shares of Common Stock having a Fair Market Value (on the date of distribution) equal to the amount of such dividends, at the time provided below in this Section 8(g). Dividend Shares shall be deemed to constitute outstanding shares for purposes of subsequent dividend payments by the Company. Dividend Shares (and/or accumulated cash) shall be settled and delivered on the date that the Restricted Stock Units to which they relate are settled and delivered if, and only to the extent that, the related Restricted Stock Unit vests. To the extent that all or any portion of the related Restricted Stock Unit does not vest or is forfeited any Dividend Shares (and/or accumulated dividends, as the case may be) corresponding to the portion of the Restricted Stock Unit that does not vest or is forfeited shall similarly not vest and be forfeited by the participant without any compensation therefore. Any elections as to form and investment in this Section 8(g) shall be made in accordance with the principles set forth in the Plan and as otherwise provided in the form prescribed by the Committee.</w:t>
      </w:r>
    </w:p>
    <w:p>
      <w:pPr>
        <w:spacing w:after="0" w:line="187" w:lineRule="exact"/>
        <w:rPr>
          <w:rFonts w:ascii="Times New Roman" w:cs="Times New Roman" w:eastAsia="Times New Roman" w:hAnsi="Times New Roman"/>
          <w:sz w:val="18"/>
          <w:szCs w:val="18"/>
          <w:color w:val="auto"/>
        </w:rPr>
      </w:pPr>
    </w:p>
    <w:p>
      <w:pPr>
        <w:jc w:val="both"/>
        <w:ind w:firstLine="656"/>
        <w:spacing w:after="0" w:line="261" w:lineRule="auto"/>
        <w:tabs>
          <w:tab w:leader="none" w:pos="91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Deferral of Restricted Stock Units</w:t>
      </w:r>
      <w:r>
        <w:rPr>
          <w:rFonts w:ascii="Times New Roman" w:cs="Times New Roman" w:eastAsia="Times New Roman" w:hAnsi="Times New Roman"/>
          <w:sz w:val="18"/>
          <w:szCs w:val="18"/>
          <w:color w:val="auto"/>
        </w:rPr>
        <w:t>. Subject to any procedures as may be permitted or required by the Committee, a Participant may file a written election with the Company in the form prescribed by the Committee pursuant to which such Participant elects to defer the receipt of all or a portion of the Common Stock to be issued in settlement of the vested portion of a Restricted Stock Unit described in this Section 8. In addition, subject to any procedures as may be permitted or required or further amended by the Committee in its sole discretion, the following shall apply to any such deferrals:</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23"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Timing of Election</w:t>
      </w:r>
      <w:r>
        <w:rPr>
          <w:rFonts w:ascii="Times New Roman" w:cs="Times New Roman" w:eastAsia="Times New Roman" w:hAnsi="Times New Roman"/>
          <w:sz w:val="18"/>
          <w:szCs w:val="18"/>
          <w:color w:val="auto"/>
        </w:rPr>
        <w:t>. Such election must be filed in December of the year prior to the year of grant (unless permitted at a later date by Section 409A of the Code, in which case it must be filed by such later date). Any such election shall remain in effect until it is revoked or until a new election is submitted, in each case during December of the year prior to the year of grant.</w:t>
      </w:r>
    </w:p>
    <w:p>
      <w:pPr>
        <w:spacing w:after="0" w:line="17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6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of Award</w:t>
      </w:r>
      <w:r>
        <w:rPr>
          <w:rFonts w:ascii="Times New Roman" w:cs="Times New Roman" w:eastAsia="Times New Roman" w:hAnsi="Times New Roman"/>
          <w:sz w:val="18"/>
          <w:szCs w:val="18"/>
          <w:color w:val="auto"/>
        </w:rPr>
        <w:t>. If a Participant has made a deferral election with respect to any Restricted Stock Unit pursuant to this Section 8(h), the settlement of the vested portion of such Award shall be delayed until the date specified in the deferral election and Plan.</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636"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of Participant during Deferral Period</w:t>
      </w:r>
      <w:r>
        <w:rPr>
          <w:rFonts w:ascii="Times New Roman" w:cs="Times New Roman" w:eastAsia="Times New Roman" w:hAnsi="Times New Roman"/>
          <w:sz w:val="18"/>
          <w:szCs w:val="18"/>
          <w:color w:val="auto"/>
        </w:rPr>
        <w:t>. Awards deferred pursuant to this Section 9(h) represent an unfunded and unsecured promise to pay on behalf of the Company. The right of any Participant to receive payments from the Company pursuant to a deferral election shall be no greater than the right of any general unsecured creditor of the Company or any Affiliate.</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86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 To the extent permitted by the 1940 Act, Awards of Restricted Shares may be made in exchange for past services or other lawful consideration.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9. Other Stock Awards; Performance Compensation Awards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56"/>
        <w:spacing w:after="0" w:line="258" w:lineRule="auto"/>
        <w:tabs>
          <w:tab w:leader="none" w:pos="90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issue unrestricted Common Stock, rights to receive grants of Awards at a future date, or other Awards denominated in Common Stock, including, without limitation, performance shares or performance units (each, a form of “Other Stock-Based Award”), under the Plan to Eligible Persons, alone or in tandem with other Awards, in such amounts as the Committee shall from time to time in its sole discretion determine. Each Other Stock-Based Award granted under the Plan shall be evidenced by an Award agreement. Each Other Stock-Based Award so granted shall be subject to such conditions not inconsistent with the Plan as may be reflected in the applicable Award agreement.</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92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provide for Performance Compensation Awards, subject to such terms and conditions as the Committee may deem appropriate. Each Performance Compensation Award so granted shall be subject to such conditions not inconsistent with the Plan as may be reflected in the applicable Award 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0" w:name="page71"/>
    <w:bookmarkEnd w:id="70"/>
    <w:p>
      <w:pPr>
        <w:jc w:val="both"/>
        <w:ind w:firstLine="656"/>
        <w:spacing w:after="0" w:line="254" w:lineRule="auto"/>
        <w:tabs>
          <w:tab w:leader="none" w:pos="891"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in its sole discretion may provide a Participant as part of an Other Stock-Based Award with dividends, dividend equivalents, or similar payments in respect of such Awards, payable in cash, shares of Common Stock, other securities, other Awards or other property, on a current or deferred basis, on such terms and conditions as may be determined by the Committee in its sole discretion, including, without limitation, payment directly to the Participant, withholding of such amounts by the Company subject to vesting of the Award or reinvestment in additional shares of Common Stock or other Awards; provided, however, that unless explicitly provided in the Award agreement, no dividends, dividend equivalents or other similar payments shall be payable in respect of outstanding unearned Performance Compensation Awards or other unearned Awards subject to (i) performance conditions (other than or in addition to the passage of time) and (ii) any dividends so payable upon satisfaction of performance conditions shall be delivered to the Participant within seventy-five (75) days following the date on which such restrictions lapse.</w:t>
      </w:r>
    </w:p>
    <w:p>
      <w:pPr>
        <w:spacing w:after="0" w:line="188" w:lineRule="exact"/>
        <w:rPr>
          <w:sz w:val="20"/>
          <w:szCs w:val="20"/>
          <w:color w:val="auto"/>
        </w:rPr>
      </w:pPr>
    </w:p>
    <w:p>
      <w:pPr>
        <w:jc w:val="both"/>
        <w:ind w:firstLine="656"/>
        <w:spacing w:after="0" w:line="254" w:lineRule="auto"/>
        <w:tabs>
          <w:tab w:leader="none" w:pos="924"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in Capital Structure and Similar Events</w:t>
      </w:r>
      <w:r>
        <w:rPr>
          <w:rFonts w:ascii="Times New Roman" w:cs="Times New Roman" w:eastAsia="Times New Roman" w:hAnsi="Times New Roman"/>
          <w:sz w:val="18"/>
          <w:szCs w:val="18"/>
          <w:color w:val="auto"/>
        </w:rPr>
        <w:t>. In the event of (a) any dividend (other than regular cash dividends) or other distribution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(whether in the form of cash, shares of Common Stock, other securities or other property), recapitalization, stock split, reverse stock split, reorganization, merger, consolidation, split-up, split-off, spin-off, combination, repurchase or exchange of shares of Common Stock or other securities of the Company, issuance of warrants or other rights to acquire shares of Common Stock or other securities of the Company, or other similar corporate transaction or event (including, without limitation, a Change in Control) that affects the shares of Common Stock, or (b) unusual or nonrecurring events (including, without limitation, a Change in Control) affecting the Company, any Affiliate, or the financial statements of the Company or any Affiliate, or changes in applicable rules, rulings, regulations or other requirements of any governmental body or securities exchange or inter-dealer quotation system, accounting principles or law, such that in either case an adjustment is determined by the Committee in its sole discretion to be necessary or appropriate, then the Committee shall make any such adjustments in such manner as it may deem equitable, including, without limitation, any or all of the following:</w:t>
      </w:r>
    </w:p>
    <w:p>
      <w:pPr>
        <w:spacing w:after="0" w:line="192" w:lineRule="exact"/>
        <w:rPr>
          <w:rFonts w:ascii="Times New Roman" w:cs="Times New Roman" w:eastAsia="Times New Roman" w:hAnsi="Times New Roman"/>
          <w:sz w:val="18"/>
          <w:szCs w:val="18"/>
          <w:b w:val="1"/>
          <w:bCs w:val="1"/>
          <w:color w:val="auto"/>
        </w:rPr>
      </w:pPr>
    </w:p>
    <w:p>
      <w:pPr>
        <w:jc w:val="both"/>
        <w:ind w:left="660" w:firstLine="644"/>
        <w:spacing w:after="0" w:line="255" w:lineRule="auto"/>
        <w:tabs>
          <w:tab w:leader="none" w:pos="1524"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adjusting any or all of (A) the Absolute Share Limit, or any other limit applicable under the Plan with respect to the number of Awards that may be granted hereunder; (B) the number of shares of Common Stock or other securities of the Company (or number and kind of other securities or other property) that may be issued in respect of Awards or with respect to which Awards may be granted under the Plan (including, without limitation, adjusting any or all of the limitations under Section 5 of the Plan); and (C) the terms of any outstanding Award, including, without limitation, (I) the number of shares of Common Stock or other securities of the Company (or number and kind of other securities or other property) subject to outstanding Awards or to which outstanding Awards relate; (II) the Exercise Price or purchase price with respect to any Award other than an Option; or (III) any applicable performance measures;</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76"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a substitution or assumption of Awards (or awards of an acquiring company), accelerating the exercisability of, lapse of restrictions on, or termination of, Awards or providing for a period of time (which shall not be required to be more than ten (10) days) for Participants to exercise outstanding Awards prior to the occurrence of such event (and any such Award not so exercised shall terminate upon the occurrence of such event); and</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1629"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cancelling any one or more outstanding Awards and causing to be paid to the holders holding vested Awards (including any Awards that would vest as a result of the occurrence of such event but for such cancellation) the value of such Awards, if any, as determined by the Committee (which if applicable may be based upon the price per share of Common Stock received or to be received by other stockholders of the Company, as applicable, in such event), including, without limitation, in the case of an outstanding Option , a cash payment in an amount equal to the excess, if any, of the Fair Market Value (as of a date specified by the Committee) of the shares of Common Stock subject to such Option over the aggregate Exercise Price of such Option, respectively (it being understood that, in such event, any Option having a per share Exercise Price equal to, or in excess of, the Fair Market Value of a share of Common Stock subject thereto may be canceled and terminated without any payment or consideration therefor);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1" w:name="page72"/>
    <w:bookmarkEnd w:id="71"/>
    <w:p>
      <w:pPr>
        <w:spacing w:after="0" w:line="252"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the case of any “equity restructuring” (within the meaning of the Financial Accounting Standards Board Accounting Standards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Codification Topic 718 (or any successor pronouncement thereto)), the Committee shall make an equitable or proportionate adjustment to outstanding Awards to reflect such equity restructuring. Any adjustment in Incentive Stock Options under this Section 10 (other than any cancellation of Incentive Stock Options) shall be made only to the extent not constituting a “modification” within the meaning of Section 424(h)(3) of the Code, and any adjustments under this Section 10 shall be made in a manner that does not adversely affect the exemption provided pursuant to Rule 16b-3 under the Exchange Act. Any such adjustment shall be conclusive and binding for all purposes. Payments to holders pursuant to clause (iii) above shall be made in cash or, in the sole discretion of the Committee, in the form of such other consideration necessary for a Participant to receive property, cash or securities (or any combination thereof) as such Participant would have been entitled to receive upon the occurrence of the transaction if the Participant had been, immediately prior to such transaction, the holder of the number of shares of Common Stock, as applicable, covered by the Award at such time (less any applicable Exercise Price). In addition, prior to any payment or adjustment contemplated under this Section 10, the Committee may require a Participant to</w:t>
      </w:r>
    </w:p>
    <w:p>
      <w:pPr>
        <w:spacing w:after="0" w:line="7" w:lineRule="exact"/>
        <w:rPr>
          <w:sz w:val="20"/>
          <w:szCs w:val="20"/>
          <w:color w:val="auto"/>
        </w:rPr>
      </w:pPr>
    </w:p>
    <w:p>
      <w:pPr>
        <w:ind w:right="200" w:firstLine="8"/>
        <w:spacing w:after="0" w:line="255" w:lineRule="auto"/>
        <w:tabs>
          <w:tab w:leader="none" w:pos="29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 and warrant as to the unencumbered title to his or her Award(s); (B) bear such Participant’s pro rata share of any post-closing indemnity obligations, and be subject to the same post-closing purchase price adjustments, escrow terms, offset rights, holdback terms, and similar conditions as the other holders of Common Stock; and (C) deliver customary transfer documentation as reasonably determined by the Committee.</w:t>
      </w:r>
    </w:p>
    <w:p>
      <w:pPr>
        <w:spacing w:after="0" w:line="18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Amendments and Termination.</w:t>
      </w:r>
    </w:p>
    <w:p>
      <w:pPr>
        <w:spacing w:after="0" w:line="229" w:lineRule="exact"/>
        <w:rPr>
          <w:sz w:val="20"/>
          <w:szCs w:val="20"/>
          <w:color w:val="auto"/>
        </w:rPr>
      </w:pPr>
    </w:p>
    <w:p>
      <w:pPr>
        <w:jc w:val="both"/>
        <w:ind w:firstLine="656"/>
        <w:spacing w:after="0" w:line="261" w:lineRule="auto"/>
        <w:tabs>
          <w:tab w:leader="none" w:pos="892"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Termination of the Plan</w:t>
      </w:r>
      <w:r>
        <w:rPr>
          <w:rFonts w:ascii="Times New Roman" w:cs="Times New Roman" w:eastAsia="Times New Roman" w:hAnsi="Times New Roman"/>
          <w:sz w:val="18"/>
          <w:szCs w:val="18"/>
          <w:color w:val="auto"/>
        </w:rPr>
        <w:t xml:space="preserve">. The Board may amend, alter, suspend, discontinue, or terminate the Plan or any portion thereof at any time;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such amendment, alteration, suspension, discontinuation or termination shall be made without stockholder approval if:</w:t>
      </w:r>
    </w:p>
    <w:p>
      <w:pPr>
        <w:jc w:val="both"/>
        <w:ind w:firstLine="8"/>
        <w:spacing w:after="0" w:line="252" w:lineRule="auto"/>
        <w:tabs>
          <w:tab w:leader="none" w:pos="21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approval is necessary to comply with any regulatory requirement applicable to the Plan (including, without limitation, as necessary to comply with any rules or regulations of any securities exchange or inter-dealer quotation system on which the securities of the Company may be listed or quoted) or for changes in GAAP to new accounting standards; (ii) it would materially increase the number of securities which may be issued under the Plan (except for increases pursuant to Section 5 or 10 of the Plan) or (iii) it would materially modify the requirements for participation in the Plan;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any such amendment, alteration, suspension, discontinuance or termination that would materially and adversely affect the rights of any Participant or any holder or beneficiary of any Award theretofore granted shall not to that extent be effective without the consent of the affected Participant, holder or beneficiary. Notwithstanding the foregoing, no amendment shall be made to the last proviso of Section 11(b) of the Plan without stockholder approval.</w:t>
      </w:r>
    </w:p>
    <w:p>
      <w:pPr>
        <w:spacing w:after="0" w:line="188" w:lineRule="exact"/>
        <w:rPr>
          <w:rFonts w:ascii="Times New Roman" w:cs="Times New Roman" w:eastAsia="Times New Roman" w:hAnsi="Times New Roman"/>
          <w:sz w:val="18"/>
          <w:szCs w:val="18"/>
          <w:color w:val="auto"/>
        </w:rPr>
      </w:pPr>
    </w:p>
    <w:p>
      <w:pPr>
        <w:jc w:val="both"/>
        <w:ind w:firstLine="656"/>
        <w:spacing w:after="0" w:line="253" w:lineRule="auto"/>
        <w:tabs>
          <w:tab w:leader="none" w:pos="903"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of Award Agreements</w:t>
      </w:r>
      <w:r>
        <w:rPr>
          <w:rFonts w:ascii="Times New Roman" w:cs="Times New Roman" w:eastAsia="Times New Roman" w:hAnsi="Times New Roman"/>
          <w:sz w:val="18"/>
          <w:szCs w:val="18"/>
          <w:color w:val="auto"/>
        </w:rPr>
        <w:t xml:space="preserve">. The Committee may, to the extent consistent with the terms of any applicable Award agreement, waive any conditions or rights under, amend any terms of, or alter, suspend, discontinue, cancel or terminate, any Award theretofore granted or the associated Award agreement, prospectively or retroactively (including after a Participant’s Termination);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any such waiver, amendment, alteration, suspension, discontinuance, cancellation or termination that would materially and adversely affect the rights of any Participant with respect to any Award theretofore granted shall not to that extent be effective without the consent of the affected Participant unless the Award agreement permits the Committee to make such modification;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without stockholder approval, except as otherwise permitted under Section 10 of the Plan: (i) no amendment or modification may reduce the Exercise Price of any Option; (ii) the Committee may not cancel any outstanding Option and replace it with a new Option (with a lower Exercise Price, as the case may be) or other Award or cash payment that is greater than the intrinsic value (if any) of the cancelled Option and (iii) the Committee may not take any other action that is considered a “repricing” for purposes of the stockholder approval rules of any securities exchange or inter-dealer quotation system on which the securities of the Company are listed or quoted.</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12. General</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56"/>
        <w:spacing w:after="0" w:line="256" w:lineRule="auto"/>
        <w:tabs>
          <w:tab w:leader="none" w:pos="89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Agreements</w:t>
      </w:r>
      <w:r>
        <w:rPr>
          <w:rFonts w:ascii="Times New Roman" w:cs="Times New Roman" w:eastAsia="Times New Roman" w:hAnsi="Times New Roman"/>
          <w:sz w:val="18"/>
          <w:szCs w:val="18"/>
          <w:color w:val="auto"/>
        </w:rPr>
        <w:t>. Each Award under the Plan shall be evidenced by an Award agreement that shall be delivered to the Participant and shall specify the terms and conditions of the Award and any rules applicable thereto, including, without limitation, the effect on such Award of the death, Disability or Termination of a Participant, or of such other events as may be determined by the Committee. For purposes of the Plan, an Award agreement may be in any such form (written or electronic) as determined by the Committee (including, without limitation, a Board or Committee resolution, an employment agreement, a notice, a certificate or a letter) evidencing the Award. The Committee need not require an Award agreement to be signed by the Participant or a duly authorized representative of the Company.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72" w:name="page73"/>
    <w:bookmarkEnd w:id="72"/>
    <w:p>
      <w:pPr>
        <w:ind w:left="264" w:hanging="264"/>
        <w:spacing w:after="0"/>
        <w:tabs>
          <w:tab w:leader="none" w:pos="26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Nontransferability</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56" w:lineRule="auto"/>
        <w:tabs>
          <w:tab w:leader="none" w:pos="874"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Award shall be exercisable only by a Participant during the Participant’s lifetime, or, if permissible under applicable law, by the Participant’s legal guardian or representative. No Award may be assigned, alienated, pledged, attached, sold or otherwise transferred or encumbered by a Participant (including, without limitation and except as may be prohibited by applicable law, pursuant to a domestic relations order) other than by will or by the laws of descent and distribution and any such purported assignment, alienation, pledge, attachment, sale, transfer or encumbrance shall be void and unenforceable against the Company or an Affiliate;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designation of a beneficiary shall not constitute an assignment, alienation, pledge, attachment, sale, transfer or encumbrance.</w:t>
      </w:r>
    </w:p>
    <w:p>
      <w:pPr>
        <w:spacing w:after="0" w:line="187" w:lineRule="exact"/>
        <w:rPr>
          <w:rFonts w:ascii="Times New Roman" w:cs="Times New Roman" w:eastAsia="Times New Roman" w:hAnsi="Times New Roman"/>
          <w:sz w:val="18"/>
          <w:szCs w:val="18"/>
          <w:color w:val="auto"/>
        </w:rPr>
      </w:pPr>
    </w:p>
    <w:p>
      <w:pPr>
        <w:jc w:val="both"/>
        <w:ind w:left="4" w:firstLine="644"/>
        <w:spacing w:after="0" w:line="253" w:lineRule="auto"/>
        <w:tabs>
          <w:tab w:leader="none" w:pos="927"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the Committee may, in its sole discretion, permit Awards (other than Incentive Stock Options) to be transferred by a Participant, without consideration, subject to such rules as the Committee may adopt consistent with any applicable Award agreement to preserve the purposes of the Plan, to: (A) any person who is a “family member” of the Participant, as such term is used in the instructions to Form S-8 under the Securities Act or any successor form of registration statement promulgated by the Commission (collectively, the “</w:t>
      </w:r>
      <w:r>
        <w:rPr>
          <w:rFonts w:ascii="Times New Roman" w:cs="Times New Roman" w:eastAsia="Times New Roman" w:hAnsi="Times New Roman"/>
          <w:sz w:val="18"/>
          <w:szCs w:val="18"/>
          <w:u w:val="single" w:color="auto"/>
          <w:color w:val="auto"/>
        </w:rPr>
        <w:t>Immediate Family Members</w:t>
      </w:r>
      <w:r>
        <w:rPr>
          <w:rFonts w:ascii="Times New Roman" w:cs="Times New Roman" w:eastAsia="Times New Roman" w:hAnsi="Times New Roman"/>
          <w:sz w:val="18"/>
          <w:szCs w:val="18"/>
          <w:color w:val="auto"/>
        </w:rPr>
        <w:t>”); (B) a trust solely for the benefit of the Participant and his or her Immediate Family Members; (C) a partnership or limited liability company whose only partners or stockholders are the Participant and his or her Immediate Family Members; or</w:t>
      </w:r>
    </w:p>
    <w:p>
      <w:pPr>
        <w:spacing w:after="0" w:line="5"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 a beneficiary to whom donations are eligible to be treated as “charitable contributions” for federal income tax purposes;</w:t>
      </w:r>
    </w:p>
    <w:p>
      <w:pPr>
        <w:spacing w:after="0" w:line="205" w:lineRule="exact"/>
        <w:rPr>
          <w:sz w:val="20"/>
          <w:szCs w:val="20"/>
          <w:color w:val="auto"/>
        </w:rPr>
      </w:pPr>
    </w:p>
    <w:p>
      <w:pPr>
        <w:jc w:val="both"/>
        <w:ind w:left="4"/>
        <w:spacing w:after="0" w:line="267" w:lineRule="auto"/>
        <w:rPr>
          <w:sz w:val="20"/>
          <w:szCs w:val="20"/>
          <w:color w:val="auto"/>
        </w:rPr>
      </w:pPr>
      <w:r>
        <w:rPr>
          <w:rFonts w:ascii="Times New Roman" w:cs="Times New Roman" w:eastAsia="Times New Roman" w:hAnsi="Times New Roman"/>
          <w:sz w:val="18"/>
          <w:szCs w:val="18"/>
          <w:color w:val="auto"/>
        </w:rPr>
        <w:t>(each transferee described in clauses (A), (B), (C) and (D) above is hereinafter referred to as a “</w:t>
      </w:r>
      <w:r>
        <w:rPr>
          <w:rFonts w:ascii="Times New Roman" w:cs="Times New Roman" w:eastAsia="Times New Roman" w:hAnsi="Times New Roman"/>
          <w:sz w:val="18"/>
          <w:szCs w:val="18"/>
          <w:u w:val="single" w:color="auto"/>
          <w:color w:val="auto"/>
        </w:rPr>
        <w:t>Permitted Transferee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Participant gives the Committee advance written notice describing the terms and conditions of the proposed transfer and the Committee notifies the Participant in writing that such a transfer would comply with the requirements of the Plan.</w:t>
      </w:r>
    </w:p>
    <w:p>
      <w:pPr>
        <w:spacing w:after="0" w:line="175" w:lineRule="exact"/>
        <w:rPr>
          <w:sz w:val="20"/>
          <w:szCs w:val="20"/>
          <w:color w:val="auto"/>
        </w:rPr>
      </w:pPr>
    </w:p>
    <w:p>
      <w:pPr>
        <w:jc w:val="both"/>
        <w:ind w:left="4" w:firstLine="644"/>
        <w:spacing w:after="0" w:line="253" w:lineRule="auto"/>
        <w:tabs>
          <w:tab w:leader="none" w:pos="967"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Award transferred in accordance with clause (ii) above shall apply to the Permitted Transferee and any reference in the Plan, or in any applicable Award agreement, to a Participant shall be deemed to refer to the Permitted Transferee, except that: (A) Permitted Transferees shall not be entitled to transfer any Award, other than by will or the laws of descent and distribution; (B) Permitted Transferees shall not be entitled to exercise any transferred Option unless there shall be in effect a registration statement on an appropriate form covering the shares of Common Stock to be acquired pursuant to the exercise of such Option if the Committee determines, consistent with any applicable Award agreement, that such a registration statement is necessary or appropriate; (C) the Committee or the Company shall not be required to provide any notice to a Permitted Transferee, whether or not such notice is or would otherwise have been required to be given to the Participant under the Plan or otherwise; and (D) the consequences of the Termination of the Participant under the terms of the Plan and the applicable Award agreement shall continue to be applied with respect to the Participant, including, without limitation, that an Option shall be exercisable by the Permitted Transferee only to the extent, and for the periods, specified in the Plan and the applicable Award agreement.</w:t>
      </w:r>
    </w:p>
    <w:p>
      <w:pPr>
        <w:spacing w:after="0" w:line="194"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56" w:lineRule="auto"/>
        <w:tabs>
          <w:tab w:leader="none" w:pos="869"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shall be required to pay to the Company or any Affiliate, and the Company or any Affiliate shall have the right and is hereby authorized to withhold, from any cash, shares of Common Stock, other securities or other property issuable or deliverable under any Award or from any compensation or other amounts owing to a Participant, the amount (in cash, shares of Common Stock, other securities or other property) of any required withholding or any other applicable taxes in respect of an Award, its exercise, or any payment or transfer under an Award or under the Plan and to take such other action as may be necessary in the opinion of the Committee or the Company to satisfy all obligations for the payment of such withholding or any other applicable taxes.</w:t>
      </w:r>
    </w:p>
    <w:p>
      <w:pPr>
        <w:spacing w:after="0" w:line="187" w:lineRule="exact"/>
        <w:rPr>
          <w:sz w:val="20"/>
          <w:szCs w:val="20"/>
          <w:color w:val="auto"/>
        </w:rPr>
      </w:pPr>
    </w:p>
    <w:p>
      <w:pPr>
        <w:jc w:val="both"/>
        <w:ind w:left="4" w:firstLine="644"/>
        <w:spacing w:after="0" w:line="258" w:lineRule="auto"/>
        <w:tabs>
          <w:tab w:leader="none" w:pos="919"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clause (i) above, the Committee may, in its sole discretion, permit a Participant to satisfy, in whole or in part, the foregoing withholding liability by (A) the delivery of shares of Common Stock (that are not subject to any pledge or other security interest) owned by the Participant having a Fair Market Value equal to such withholding liability or (B) having the Company withhold from the number of shares of Common Stock otherwise issuable or deliverable pursuant to the exercise or settlement of the Award a number of shares with a Fair Market Value equal to such withholding liability.</w:t>
      </w:r>
    </w:p>
    <w:p>
      <w:pPr>
        <w:spacing w:after="0" w:line="399" w:lineRule="exact"/>
        <w:rPr>
          <w:sz w:val="20"/>
          <w:szCs w:val="20"/>
          <w:color w:val="auto"/>
        </w:rPr>
      </w:pPr>
    </w:p>
    <w:p>
      <w:pPr>
        <w:ind w:left="4744"/>
        <w:spacing w:after="0"/>
        <w:rPr>
          <w:sz w:val="20"/>
          <w:szCs w:val="20"/>
          <w:color w:val="auto"/>
        </w:rPr>
      </w:pPr>
      <w:r>
        <w:rPr>
          <w:rFonts w:ascii="Times New Roman" w:cs="Times New Roman" w:eastAsia="Times New Roman" w:hAnsi="Times New Roman"/>
          <w:sz w:val="18"/>
          <w:szCs w:val="18"/>
          <w:color w:val="auto"/>
        </w:rPr>
        <w:t>A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877" w:right="339" w:bottom="1440" w:gutter="0" w:footer="0" w:header="0"/>
        </w:sectPr>
      </w:pPr>
    </w:p>
    <w:bookmarkStart w:id="73" w:name="page74"/>
    <w:bookmarkEnd w:id="73"/>
    <w:p>
      <w:pPr>
        <w:jc w:val="both"/>
        <w:ind w:left="660" w:firstLine="644"/>
        <w:spacing w:after="0" w:line="266" w:lineRule="auto"/>
        <w:tabs>
          <w:tab w:leader="none" w:pos="163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Participant is subject to Section 16(a) of the Exchange Act, his or her ability to pay any withholding obligation in the form of shares of Common Stock shall be subject to any additional restrictions as may be necessary to avoid any transaction that might give rise to liability under Section 16(b) of the Exchange Act.</w:t>
      </w:r>
    </w:p>
    <w:p>
      <w:pPr>
        <w:spacing w:after="0" w:line="175" w:lineRule="exact"/>
        <w:rPr>
          <w:rFonts w:ascii="Times New Roman" w:cs="Times New Roman" w:eastAsia="Times New Roman" w:hAnsi="Times New Roman"/>
          <w:sz w:val="18"/>
          <w:szCs w:val="18"/>
          <w:color w:val="auto"/>
        </w:rPr>
      </w:pPr>
    </w:p>
    <w:p>
      <w:pPr>
        <w:jc w:val="both"/>
        <w:ind w:firstLine="656"/>
        <w:spacing w:after="0" w:line="253" w:lineRule="auto"/>
        <w:tabs>
          <w:tab w:leader="none" w:pos="903"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Claim to Awards; No Rights to Continued Employment; Waiver</w:t>
      </w:r>
      <w:r>
        <w:rPr>
          <w:rFonts w:ascii="Times New Roman" w:cs="Times New Roman" w:eastAsia="Times New Roman" w:hAnsi="Times New Roman"/>
          <w:sz w:val="18"/>
          <w:szCs w:val="18"/>
          <w:color w:val="auto"/>
        </w:rPr>
        <w:t>. No employee of the Company or any Affiliate, or other person, shall have any claim or right to be granted an Award under the Plan. There is no obligation for uniformity of treatment of Participants or holders or beneficiaries of Awards. The terms and conditions of Awards and the Committee’s determinations and interpretations with respect thereto need not be the same with respect to each Participant and may be made selectively among Participants, whether or not such Participants are similarly situated. Neither the Plan nor any action taken hereunder shall be construed as giving any Participant any right to be retained in the employ or service of the Company or any Affiliate, nor shall it be construed as giving any Participant any rights to continued service on the Board. The Company or any of its Affiliates may at any time dismiss a Participant from employment or discontinue any independent contractor relationship, free from any liability or any claim under the Plan, unless otherwise expressly provided in the Plan or any Award agreement and other than with respect to any vested Award. By accepting an Award under the Plan, a Participant shall thereby be deemed to have waived any claim to continued exercise or vesting of an Award or to damages or severance entitlement related to noncontinuation of the Award beyond the period provided under the Plan or any Award agreement, except to the extent of any provision to the contrary in any written employment contract or other agreement between the Company and its Affiliates and the Participant, whether any such agreement is executed before, on or after the Date of Grant.</w:t>
      </w:r>
    </w:p>
    <w:p>
      <w:pPr>
        <w:spacing w:after="0" w:line="189"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91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International Participants</w:t>
      </w:r>
      <w:r>
        <w:rPr>
          <w:rFonts w:ascii="Times New Roman" w:cs="Times New Roman" w:eastAsia="Times New Roman" w:hAnsi="Times New Roman"/>
          <w:sz w:val="18"/>
          <w:szCs w:val="18"/>
          <w:color w:val="auto"/>
        </w:rPr>
        <w:t>. With respect to Participants who reside or work outside of the United States, the Committee may, in its sole discretion, amend the terms of the Plan or Sub-Plans or outstanding Awards with respect to such Participants in order to conform such terms with the requirements of local law or to obtain more favorable tax or other treatment for a Participant, the Company or its Affiliates.</w:t>
      </w:r>
    </w:p>
    <w:p>
      <w:pPr>
        <w:spacing w:after="0" w:line="175" w:lineRule="exact"/>
        <w:rPr>
          <w:rFonts w:ascii="Times New Roman" w:cs="Times New Roman" w:eastAsia="Times New Roman" w:hAnsi="Times New Roman"/>
          <w:sz w:val="18"/>
          <w:szCs w:val="18"/>
          <w:color w:val="auto"/>
        </w:rPr>
      </w:pPr>
    </w:p>
    <w:p>
      <w:pPr>
        <w:jc w:val="both"/>
        <w:ind w:firstLine="656"/>
        <w:spacing w:after="0" w:line="255" w:lineRule="auto"/>
        <w:tabs>
          <w:tab w:leader="none" w:pos="88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 and Change of Beneficiary</w:t>
      </w:r>
      <w:r>
        <w:rPr>
          <w:rFonts w:ascii="Times New Roman" w:cs="Times New Roman" w:eastAsia="Times New Roman" w:hAnsi="Times New Roman"/>
          <w:sz w:val="18"/>
          <w:szCs w:val="18"/>
          <w:color w:val="auto"/>
        </w:rPr>
        <w:t xml:space="preserve">. Each Participant may file with the Committee a written designation of one or more persons as the beneficiary(ies) who shall be entitled to receive an Award or the amounts payable with respect to an Award, if any, due under the Plan upon his or her death. A Participant may, from time to time, revoke or change his or her beneficiary designation without the consent of any prior beneficiary by filing a new designation with the Committee. The last such designation received by the Committee shall be controlling;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designation, or change or revocation thereof, shall be effective unless received by the Committee prior to the Participant’s death, and in no event shall it be effective as of a date prior to such receipt. If no beneficiary designation is filed by a Participant, the beneficiary shall be deemed to be his or her spouse or, if the Participant is unmarried at the time of death, his or her estate.</w:t>
      </w:r>
    </w:p>
    <w:p>
      <w:pPr>
        <w:spacing w:after="0" w:line="188"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w:t>
      </w:r>
      <w:r>
        <w:rPr>
          <w:rFonts w:ascii="Times New Roman" w:cs="Times New Roman" w:eastAsia="Times New Roman" w:hAnsi="Times New Roman"/>
          <w:sz w:val="17"/>
          <w:szCs w:val="17"/>
          <w:color w:val="auto"/>
        </w:rPr>
        <w:t>. Except as otherwise provided in an Award agreement, unless determined otherwise by the Committee at any point following such</w:t>
      </w:r>
    </w:p>
    <w:p>
      <w:pPr>
        <w:spacing w:after="0" w:line="38" w:lineRule="exact"/>
        <w:rPr>
          <w:rFonts w:ascii="Times New Roman" w:cs="Times New Roman" w:eastAsia="Times New Roman" w:hAnsi="Times New Roman"/>
          <w:sz w:val="17"/>
          <w:szCs w:val="17"/>
          <w:color w:val="auto"/>
        </w:rPr>
      </w:pPr>
    </w:p>
    <w:p>
      <w:pPr>
        <w:jc w:val="both"/>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event: (i) neither a temporary absence from employment or service due to illness, vacation or leave of absence (including, without limitation, a call to active duty for military service through a Reserve or National Guard unit) nor a transfer from employment or service with one Service Recipient to employment or service with another Service Recipient (or vice-versa) shall be considered a Termination; and (ii) if a Participant undergoes a Termination of employment, but such Participant continues to provide services to the Company and its Affiliates in a non-employee capacity, such change in status shall not be considered a Termination for purposes of the Plan. Further, unless otherwise determined by the Committee, in the event that any Service Recipient ceases to be an Affiliate of the Company (by reason of sale, divestiture, spin-off or other similar transaction), unless a Participant’s employment or service is transferred to another entity that would constitute a Service Recipient immediately following such transaction, such Participant shall be deemed to have suffered a Termination hereunder as of the date of the consummation of such transaction.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4" w:name="page75"/>
    <w:bookmarkEnd w:id="74"/>
    <w:p>
      <w:pPr>
        <w:jc w:val="both"/>
        <w:ind w:firstLine="656"/>
        <w:spacing w:after="0" w:line="266" w:lineRule="auto"/>
        <w:tabs>
          <w:tab w:leader="none" w:pos="903"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a Stockholder</w:t>
      </w:r>
      <w:r>
        <w:rPr>
          <w:rFonts w:ascii="Times New Roman" w:cs="Times New Roman" w:eastAsia="Times New Roman" w:hAnsi="Times New Roman"/>
          <w:sz w:val="18"/>
          <w:szCs w:val="18"/>
          <w:color w:val="auto"/>
        </w:rPr>
        <w:t>. Except as otherwise specifically provided in the Plan or any Award agreement, no person shall be entitled to the privileges of ownership in respect of shares of Common Stock that are subject to Awards hereunder until such shares have been issued or delivered to such person.</w:t>
      </w:r>
    </w:p>
    <w:p>
      <w:pPr>
        <w:spacing w:after="0" w:line="175"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Government and Other Regulations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2" w:lineRule="auto"/>
        <w:tabs>
          <w:tab w:leader="none" w:pos="1531"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the Company to settle Awards in shares of Common Stock or other consideration shall be subject to all applicable laws, rules, and regulations, and to such approvals by governmental agencies as may be required. Notwithstanding any terms or conditions of any Award to the contrary, the Company shall be under no obligation to offer to sell or to sell, and shall be prohibited from offering to sell or selling, any shares of Common Stock pursuant to an Award unless such shares have been properly registered for sale pursuant to the Securities Act with the Commission or unless the Company has received an opinion of counsel (if the Company has requested such an opinion), satisfactory to the Company, that such shares may be offered or sold without such registration pursuant to an available exemption therefrom and the terms and conditions of such exemption have been fully complied with. The Company shall be under no obligation to register for sale under the Securities Act any of the shares of Common Stock to be offered or sold under the Plan. The Committee shall have the authority to provide that all shares of Common Stock or other securities of the Company or any Affiliate issued under the Plan shall be subject to such stop transfer orders and other restrictions as the Committee may deem advisable under the Plan, the applicable Award agreement, the Federal securities laws, or the rules, regulations and other requirements of the Commission, any securities exchange or inter-dealer quotation system on which the securities of the Company are listed or quoted and any other applicable Federal, state, local or non-United States laws, rules, regulations and other requirements, and, without limiting the generality of Section 8 of the Plan, the Committee may cause a legend or legends to be put on certificates representing shares of Common Stock or other securities of the Company or any Affiliate issued under the Plan to make appropriate reference to such restrictions or may cause such Common Stock or other securities of the Company or any Affiliate issued under the Plan in book-entry form to be held subject to the Company’s instructions or subject to appropriate stop transfer orders. Notwithstanding any provision in the Plan to the contrary, the Committee reserves the right to add any additional terms or provisions to any Award granted under the Plan that it in its sole discretion deems necessary or advisable in order that such Award complies with the legal requirements of any governmental entity to whose jurisdiction the Award is subject.</w:t>
      </w:r>
    </w:p>
    <w:p>
      <w:pPr>
        <w:spacing w:after="0" w:line="190"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1571"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Committee may cancel an Award or any portion thereof if it determines, in its sole discretion, that legal or contractual restrictions and/or blockage and/or other market considerations would make the Company’s acquisition of shares of Common Stock from the public markets, the Company’s issuance of Common Stock to the Participant, the Participant’s acquisition of Common Stock from the Company and/or the Participant’s sale of Common Stock to the public markets illegal, impracticable or inadvisable. If the Committee determines to cancel all or any portion of an Award in accordance with the foregoing, the Company shall pay to the Participant an amount equal to the excess of (A) the aggregate Fair Market Value of the shares of Common Stock subject to such Award or portion thereof canceled (determined as of the applicable exercise date, or the date that the shares would have been vested or issued, as applicable), over (B) the aggregate Exercise Price (in the case of an Option) or any amount payable as a condition of issuance of shares of Common Stock (in the case of any other Award);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such payment shall only be made with respect to vested Awards. Such amount shall be delivered to the Participant as soon as practicable following the cancellation of such Award or portion thereof.</w:t>
      </w:r>
    </w:p>
    <w:p>
      <w:pPr>
        <w:spacing w:after="0" w:line="194" w:lineRule="exact"/>
        <w:rPr>
          <w:rFonts w:ascii="Times New Roman" w:cs="Times New Roman" w:eastAsia="Times New Roman" w:hAnsi="Times New Roman"/>
          <w:sz w:val="18"/>
          <w:szCs w:val="18"/>
          <w:color w:val="auto"/>
        </w:rPr>
      </w:pPr>
    </w:p>
    <w:p>
      <w:pPr>
        <w:jc w:val="both"/>
        <w:ind w:firstLine="656"/>
        <w:spacing w:after="0" w:line="256" w:lineRule="auto"/>
        <w:tabs>
          <w:tab w:leader="none" w:pos="863"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Section 83(b) Elections Without Consent of Company</w:t>
      </w:r>
      <w:r>
        <w:rPr>
          <w:rFonts w:ascii="Times New Roman" w:cs="Times New Roman" w:eastAsia="Times New Roman" w:hAnsi="Times New Roman"/>
          <w:sz w:val="18"/>
          <w:szCs w:val="18"/>
          <w:color w:val="auto"/>
        </w:rPr>
        <w:t>. No election under Section 83(b) of the Code or under a similar provision of law may be made unless expressly permitted by the terms of the applicable Award agreement or by action of the Committee prior to the making of such election. If a Participant, in connection with the acquisition of shares of Common Stock under the Plan or otherwise, is expressly permitted to make such election and the Participant makes the election, the Participant shall notify the Company of such election within ten (10) days of filing notice of the election with the Internal Revenue Service or other governmental authority, in addition to any filing and notification required pursuant to Section 83(b) of the Code or other applicable provision.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5" w:name="page76"/>
    <w:bookmarkEnd w:id="75"/>
    <w:p>
      <w:pPr>
        <w:jc w:val="both"/>
        <w:ind w:firstLine="656"/>
        <w:spacing w:after="0" w:line="258" w:lineRule="auto"/>
        <w:tabs>
          <w:tab w:leader="none" w:pos="903"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to Persons Other Than Participants</w:t>
      </w:r>
      <w:r>
        <w:rPr>
          <w:rFonts w:ascii="Times New Roman" w:cs="Times New Roman" w:eastAsia="Times New Roman" w:hAnsi="Times New Roman"/>
          <w:sz w:val="18"/>
          <w:szCs w:val="18"/>
          <w:color w:val="auto"/>
        </w:rPr>
        <w:t>. If the Committee shall find that any person to whom any amount is payable under the Plan is unable to care for his or her affairs because of illness or accident, or is a minor, or has died, then any payment due to such person or his or her estate (unless a prior claim therefor has been made by a duly appointed legal representative) may, if the Committee so directs the Company, be paid to his or her spouse, child, relative, an institution maintaining or having custody of such person, or any other person deemed by the Committee to be a proper recipient on behalf of such person otherwise entitled to payment. Any such payment shall be a complete discharge of the liability of the Committee and the Company therefor.</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863"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Nonexclusivity of the Plan</w:t>
      </w:r>
      <w:r>
        <w:rPr>
          <w:rFonts w:ascii="Times New Roman" w:cs="Times New Roman" w:eastAsia="Times New Roman" w:hAnsi="Times New Roman"/>
          <w:sz w:val="18"/>
          <w:szCs w:val="18"/>
          <w:color w:val="auto"/>
        </w:rPr>
        <w:t xml:space="preserve">. Neither the adoption of this Plan by the Board nor the submission of this Plan to the stockholders of the Company for approval shall be construed as creating any limitations on the power of the Board to adopt such other incentive arrangements as it may deem desirable, including, without limitation, the granting of stock options otherwise than under this Plan, and such arrangements may be either applicable generally or only in specific cases;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any such arrangement is permitted under the 1940 Act.</w:t>
      </w:r>
    </w:p>
    <w:p>
      <w:pPr>
        <w:spacing w:after="0" w:line="179" w:lineRule="exact"/>
        <w:rPr>
          <w:rFonts w:ascii="Times New Roman" w:cs="Times New Roman" w:eastAsia="Times New Roman" w:hAnsi="Times New Roman"/>
          <w:sz w:val="18"/>
          <w:szCs w:val="18"/>
          <w:color w:val="auto"/>
        </w:rPr>
      </w:pPr>
    </w:p>
    <w:p>
      <w:pPr>
        <w:jc w:val="both"/>
        <w:ind w:firstLine="656"/>
        <w:spacing w:after="0" w:line="255" w:lineRule="auto"/>
        <w:tabs>
          <w:tab w:leader="none" w:pos="96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Trust or Fund Created</w:t>
      </w:r>
      <w:r>
        <w:rPr>
          <w:rFonts w:ascii="Times New Roman" w:cs="Times New Roman" w:eastAsia="Times New Roman" w:hAnsi="Times New Roman"/>
          <w:sz w:val="18"/>
          <w:szCs w:val="18"/>
          <w:color w:val="auto"/>
        </w:rPr>
        <w:t>. Neither the Plan nor any Award shall create or be construed to create a trust or separate fund of any kind or a fiduciary relationship between the Company or any Affiliate, on the one hand, and a Participant or other person or entity, on the other hand. No provision of the Plan or any Award shall require the Company, for the purpose of satisfying any obligations under the Plan, to purchase assets or place any assets in a trust or other entity to which contributions are made or otherwise to segregate any assets, nor shall the Company maintain separate bank accounts, books, records or other evidence of the existence of a segregated or separately maintained or administered fund for such purposes. Participants shall have no rights under the Plan other than as unsecured general creditors of the Company, except that insofar as they may have become entitled to payment of additional compensation by performance of services, they shall have the same rights as other employees or service providers under general law.</w:t>
      </w:r>
    </w:p>
    <w:p>
      <w:pPr>
        <w:spacing w:after="0" w:line="188" w:lineRule="exact"/>
        <w:rPr>
          <w:rFonts w:ascii="Times New Roman" w:cs="Times New Roman" w:eastAsia="Times New Roman" w:hAnsi="Times New Roman"/>
          <w:sz w:val="18"/>
          <w:szCs w:val="18"/>
          <w:color w:val="auto"/>
        </w:rPr>
      </w:pPr>
    </w:p>
    <w:p>
      <w:pPr>
        <w:jc w:val="both"/>
        <w:ind w:firstLine="656"/>
        <w:spacing w:after="0" w:line="258" w:lineRule="auto"/>
        <w:tabs>
          <w:tab w:leader="none" w:pos="903"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Reliance on Reports</w:t>
      </w:r>
      <w:r>
        <w:rPr>
          <w:rFonts w:ascii="Times New Roman" w:cs="Times New Roman" w:eastAsia="Times New Roman" w:hAnsi="Times New Roman"/>
          <w:sz w:val="18"/>
          <w:szCs w:val="18"/>
          <w:color w:val="auto"/>
        </w:rPr>
        <w:t>. Each member of the Committee and each member of the Board shall be fully justified in acting or failing to act, as the case may be, and shall not be liable for having so acted or failed to act in good faith, in reliance upon any report made by the independent public accountant of or counsel to the Company and its Affiliates and/or any other information furnished in connection with the Plan by any agent of the Company or the Committee or the Board, other than himself or herself and except to the extent he or she has actual knowledge of inaccuracies or material omissions in such report.</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93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Relationship to Other Benefits</w:t>
      </w:r>
      <w:r>
        <w:rPr>
          <w:rFonts w:ascii="Times New Roman" w:cs="Times New Roman" w:eastAsia="Times New Roman" w:hAnsi="Times New Roman"/>
          <w:sz w:val="18"/>
          <w:szCs w:val="18"/>
          <w:color w:val="auto"/>
        </w:rPr>
        <w:t>. No payment under the Plan shall be taken into account in determining any benefits under any pension, retirement, profit sharing, group insurance or other benefit plan of the Company except as otherwise specifically provided in such other plan or as required by applicable law.</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1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Plan shall be governed by and construed in accordance with the internal laws of the State of Maryland applicable to contracts made and performed wholly within the State of Maryland, without giving effect to the conflict of laws provisions thereof.</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903"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the Plan or any Award or Award agreement is or becomes or is deemed to be invalid, illegal, or unenforceable in any jurisdiction or as to any person or entity or an Award would disqualify the Plan or any Award under any law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construed or deemed stricken as to such jurisdiction, person or entity or Award and the remainder of the Plan and any such Award shall remain in full force and effect.</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9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Binding on Successors</w:t>
      </w:r>
      <w:r>
        <w:rPr>
          <w:rFonts w:ascii="Times New Roman" w:cs="Times New Roman" w:eastAsia="Times New Roman" w:hAnsi="Times New Roman"/>
          <w:sz w:val="18"/>
          <w:szCs w:val="18"/>
          <w:color w:val="auto"/>
        </w:rPr>
        <w:t>. The obligations of the Company under the Plan shall be binding upon any successor corporation or organization resulting from the merger, consolidation or other reorganization of the Company, or upon any successor corporation or organization succeeding to substantially all of the assets and business of the Company.</w:t>
      </w:r>
    </w:p>
    <w:p>
      <w:pPr>
        <w:spacing w:after="0" w:line="17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 of the Code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1529"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the Plan to the contrary, it is intended that the provisions of this Plan comply with Section 409A of the Code, and all provisions of this Plan shall be construed and interpreted in a manner consistent with the requirements for avoiding taxes or penalties under Section 409A of the Code. Each Participant is solely responsible and liable for the satisfaction of all taxes and penalties that may be imposed on or in respect of such Participant in connection with this Plan (including any taxes and penalties under Section 409A of the Code), and neither the Company nor any Affiliate shall have any obligation to indemnify or otherwise hold such Participant (or any beneficiary) harmless from any or all of such taxes or penalties. With respect to any Award that is considered “deferred compensation” subject to Section 409A of the Code, references in the Plan to “termination of employment” (and substantially similar phrases) shall mean “separation from service” within the meaning of Section 409A of the Code. For purposes of Section 409A of the Code, each of the payments that may be made in respect of any Award granted under the Plan is designated as separate payments.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6" w:name="page77"/>
    <w:bookmarkEnd w:id="76"/>
    <w:p>
      <w:pPr>
        <w:ind w:left="1560" w:hanging="256"/>
        <w:spacing w:after="0"/>
        <w:tabs>
          <w:tab w:leader="none" w:pos="1560" w:val="left"/>
        </w:tabs>
        <w:numPr>
          <w:ilvl w:val="1"/>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in the Plan to the contrary, if a Participant is a “specified employee” within the meaning of Section 409A(a)</w:t>
      </w:r>
    </w:p>
    <w:p>
      <w:pPr>
        <w:spacing w:after="0" w:line="38" w:lineRule="exact"/>
        <w:rPr>
          <w:rFonts w:ascii="Times New Roman" w:cs="Times New Roman" w:eastAsia="Times New Roman" w:hAnsi="Times New Roman"/>
          <w:sz w:val="17"/>
          <w:szCs w:val="17"/>
          <w:color w:val="auto"/>
        </w:rPr>
      </w:pPr>
    </w:p>
    <w:p>
      <w:pPr>
        <w:jc w:val="both"/>
        <w:ind w:left="66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(2)(B)(i) of the Code, no payments in respect of any Awards that are “deferred compensation” subject to Section 409A of the Code and that would otherwise be payable upon the Participant’s “separation from service” (as defined in Section 409A of the Code) shall be made to such Participant prior to the date that is six months after the date of such Participant’s “separation from service” or, if earlier, the Participant’s date of death. Following any applicable six (6) month delay, all such delayed payments will be paid in a single lump sum on the earliest date permitted under Section 409A of the Code that is also a business day.</w:t>
      </w:r>
    </w:p>
    <w:p>
      <w:pPr>
        <w:spacing w:after="0" w:line="186" w:lineRule="exact"/>
        <w:rPr>
          <w:rFonts w:ascii="Times New Roman" w:cs="Times New Roman" w:eastAsia="Times New Roman" w:hAnsi="Times New Roman"/>
          <w:sz w:val="17"/>
          <w:szCs w:val="17"/>
          <w:color w:val="auto"/>
        </w:rPr>
      </w:pPr>
    </w:p>
    <w:p>
      <w:pPr>
        <w:jc w:val="both"/>
        <w:ind w:left="660" w:firstLine="644"/>
        <w:spacing w:after="0" w:line="255" w:lineRule="auto"/>
        <w:tabs>
          <w:tab w:leader="none" w:pos="1623"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by the Committee in an Award agreement or otherwise, in the event that the timing of payments in respect of any Award (that would otherwise be considered “deferred compensation” subject to Section 409A of the Code) would be accelerated upon the occurrence of (A) a Change in Control, no such acceleration shall be permitted unless the event giving rise to the Change in Control satisfies the definition of a change in the ownership or effective control of a corporation, or a change in the ownership of a substantial portion of the assets of a corporation pursuant to Section 409A of the Code and any regulations promulgated thereunder or (B) a Disability, no such acceleration shall be permitted unless the Disability also satisfies the definition of “Disability” pursuant to Section 409A of the Code and any regulations promulgated thereunder.</w:t>
      </w:r>
    </w:p>
    <w:p>
      <w:pPr>
        <w:spacing w:after="0" w:line="188" w:lineRule="exact"/>
        <w:rPr>
          <w:rFonts w:ascii="Times New Roman" w:cs="Times New Roman" w:eastAsia="Times New Roman" w:hAnsi="Times New Roman"/>
          <w:sz w:val="18"/>
          <w:szCs w:val="18"/>
          <w:color w:val="auto"/>
        </w:rPr>
      </w:pPr>
    </w:p>
    <w:p>
      <w:pPr>
        <w:jc w:val="both"/>
        <w:ind w:firstLine="656"/>
        <w:spacing w:after="0" w:line="254" w:lineRule="auto"/>
        <w:tabs>
          <w:tab w:leader="none" w:pos="863"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Clawback/Forfeiture</w:t>
      </w:r>
      <w:r>
        <w:rPr>
          <w:rFonts w:ascii="Times New Roman" w:cs="Times New Roman" w:eastAsia="Times New Roman" w:hAnsi="Times New Roman"/>
          <w:sz w:val="18"/>
          <w:szCs w:val="18"/>
          <w:color w:val="auto"/>
        </w:rPr>
        <w:t>. Notwithstanding anything to the contrary contained herein, an Award agreement may provide that the Committee may in its sole discretion cancel such Award if the Participant has engaged in or engages in any Detrimental Activity. The Committee may also provide in an Award agreement that if the Participant otherwise has engaged in or engages in any Detrimental Activity, the Participant will forfeit any gain realized on the vesting or exercise of such Award, and must repay the gain to the Company. The Committee may also provide in an Award agreement that if the Participant receives any amount in excess of what the Participant should have received under the terms of the Award for any reason (including, without limitation, by reason of a financial restatement, mistake in calculations or other administrative error), then the Participant shall be required to repay any such excess amount to the Company. Without limiting the foregoing, all Awards shall be subject to reduction, cancellation, forfeiture or recoupment to the extent necessary to comply with applicable law.</w:t>
      </w:r>
    </w:p>
    <w:p>
      <w:pPr>
        <w:spacing w:after="0" w:line="191" w:lineRule="exact"/>
        <w:rPr>
          <w:rFonts w:ascii="Times New Roman" w:cs="Times New Roman" w:eastAsia="Times New Roman" w:hAnsi="Times New Roman"/>
          <w:sz w:val="18"/>
          <w:szCs w:val="18"/>
          <w:color w:val="auto"/>
        </w:rPr>
      </w:pPr>
    </w:p>
    <w:p>
      <w:pPr>
        <w:jc w:val="both"/>
        <w:ind w:firstLine="656"/>
        <w:spacing w:after="0" w:line="252" w:lineRule="auto"/>
        <w:tabs>
          <w:tab w:leader="none" w:pos="91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Indemnity.</w:t>
      </w:r>
      <w:r>
        <w:rPr>
          <w:rFonts w:ascii="Times New Roman" w:cs="Times New Roman" w:eastAsia="Times New Roman" w:hAnsi="Times New Roman"/>
          <w:sz w:val="18"/>
          <w:szCs w:val="18"/>
          <w:color w:val="auto"/>
        </w:rPr>
        <w:t xml:space="preserve"> Each Indemnifiable Person shall be indemnified and held harmless by the Company against and from any loss, cost, liability, or expense (including attorneys’ fees) that may be imposed upon or incurred by such Indemnifiable Person in connection with or resulting from any action, suit or proceeding to which such Indemnifiable Person may be a party or in which such Indemnifiable Person may be involved by reason of any action taken or omitted to be taken or determination made under the Plan or any Award agreement and against and from any and all amounts paid by such Indemnifiable Person with the Company’s approval, in settlement thereof, or paid by such Indemnifiable Person in satisfaction of any judgment in any such action, suit or proceeding against such Indemnifiable Person, and the Company shall advance to such Indemnifiable Person any such expenses promptly upon written request (which request shall include an undertaking by the Indemnifiable Person to repay the amount of such advance if it shall ultimately be determined as provided below that the Indemnifiable Person is not entitled to be indemnified); provided that the Company shall have the right, at its own expense, to assume and defend any such action, suit or proceeding and once the Company gives notice of its intent to assume the defense, the Company shall have sole control over such defense with counsel of the Company’s choice. The foregoing right of indemnification shall not be available to an Indemnifiable Person to the extent that a final judgment or other final adjudication (in either case not subject to further appeal) binding upon such Indemnifiable Person determines that the acts or omissions or determinations of such Indemnifiable Person giving rise to the indemnification claim resulted from such Indemnifiable Person’s fraud or willful criminal act or omission or that such right of indemnification is otherwise prohibited by law or by the Company’s Certificate of Incorporation or Bylaws. The foregoing right of indemnification shall not be exclusive of or otherwise supersede any other rights of indemnification to which such Indemnifiable Persons may be entitled under the Company’s or any Affiliate’s organizational documents, as a matter of law, individual indemnification agreement or contract or otherwise, or any other power that the Company may have to indemnify such Indemnifiable Persons or hold them harmless.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7" w:name="page78"/>
    <w:bookmarkEnd w:id="77"/>
    <w:p>
      <w:pPr>
        <w:jc w:val="both"/>
        <w:ind w:firstLine="656"/>
        <w:spacing w:after="0" w:line="266" w:lineRule="auto"/>
        <w:tabs>
          <w:tab w:leader="none" w:pos="903"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 Gender; Titles and Headings</w:t>
      </w:r>
      <w:r>
        <w:rPr>
          <w:rFonts w:ascii="Times New Roman" w:cs="Times New Roman" w:eastAsia="Times New Roman" w:hAnsi="Times New Roman"/>
          <w:sz w:val="18"/>
          <w:szCs w:val="18"/>
          <w:color w:val="auto"/>
        </w:rPr>
        <w:t>. The expenses of administering the Plan shall be borne by the Company and its Affiliates. Masculine pronouns and other words of masculine gender shall refer to both men and women. The titles and headings of the sections in the Plan are for convenience of reference only, and in the event of any conflict, the text of the Plan, rather than such titles or headings, shall control.</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43"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1940 Act</w:t>
      </w:r>
      <w:r>
        <w:rPr>
          <w:rFonts w:ascii="Times New Roman" w:cs="Times New Roman" w:eastAsia="Times New Roman" w:hAnsi="Times New Roman"/>
          <w:sz w:val="18"/>
          <w:szCs w:val="18"/>
          <w:color w:val="auto"/>
        </w:rPr>
        <w:t>. No provision of this Plan shall contravene any portion of the 1940 Act, and in the event of any conflict between the provisions of the Plan or any Award and the 1940 Act, the applicable Section of the 1940 Act shall control and all Awards under the Plan shall be so modified. All Participants holding such modified Awards shall be notified of the change to their Awards and such change shall be binding on such Participants.</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91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Rounding Conventions</w:t>
      </w:r>
      <w:r>
        <w:rPr>
          <w:rFonts w:ascii="Times New Roman" w:cs="Times New Roman" w:eastAsia="Times New Roman" w:hAnsi="Times New Roman"/>
          <w:sz w:val="18"/>
          <w:szCs w:val="18"/>
          <w:color w:val="auto"/>
        </w:rPr>
        <w:t>. The Committee may, in its sole discretion and taking into account any requirements of the Code, including without limitations Sections 422 through 424 and 409A of the Code, determine the effect of vesting, stock dividend and any other adjustments on shares and any cash amount payable hereunder, and may provide that no fractional shares will be issued (rounding up or down as determined by the Committee) and that cash amounts be rounded down to the nearest whole cent.</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903"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Writing</w:t>
      </w:r>
      <w:r>
        <w:rPr>
          <w:rFonts w:ascii="Times New Roman" w:cs="Times New Roman" w:eastAsia="Times New Roman" w:hAnsi="Times New Roman"/>
          <w:sz w:val="18"/>
          <w:szCs w:val="18"/>
          <w:color w:val="auto"/>
        </w:rPr>
        <w:t>. References in this Plan and any Award agreement to a “writing” shall include, without limitation, direction through email, the Internet or other electronic means, as permitted from time to time by the Committee.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8" w:name="page79"/>
    <w:bookmarkEnd w:id="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7014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701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7014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7014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4ED43B"/>
    <w:multiLevelType w:val="hybridMultilevel"/>
    <w:lvl w:ilvl="0">
      <w:lvlJc w:val="left"/>
      <w:lvlText w:val="☒"/>
      <w:numFmt w:val="bullet"/>
      <w:start w:val="1"/>
    </w:lvl>
  </w:abstractNum>
  <w:abstractNum w:abstractNumId="1">
    <w:nsid w:val="725A06FB"/>
    <w:multiLevelType w:val="hybridMultilevel"/>
    <w:lvl w:ilvl="0">
      <w:lvlJc w:val="left"/>
      <w:lvlText w:val="☐"/>
      <w:numFmt w:val="bullet"/>
      <w:start w:val="1"/>
    </w:lvl>
  </w:abstractNum>
  <w:abstractNum w:abstractNumId="2">
    <w:nsid w:val="2CD89A32"/>
    <w:multiLevelType w:val="hybridMultilevel"/>
    <w:lvl w:ilvl="0">
      <w:lvlJc w:val="left"/>
      <w:lvlText w:val="(%1)"/>
      <w:numFmt w:val="lowerRoman"/>
      <w:start w:val="5"/>
    </w:lvl>
  </w:abstractNum>
  <w:abstractNum w:abstractNumId="3">
    <w:nsid w:val="57E4CCAF"/>
    <w:multiLevelType w:val="hybridMultilevel"/>
    <w:lvl w:ilvl="0">
      <w:lvlJc w:val="left"/>
      <w:lvlText w:val="%1."/>
      <w:numFmt w:val="decimal"/>
      <w:start w:val="1"/>
    </w:lvl>
  </w:abstractNum>
  <w:abstractNum w:abstractNumId="4">
    <w:nsid w:val="7A6D8D3C"/>
    <w:multiLevelType w:val="hybridMultilevel"/>
    <w:lvl w:ilvl="0">
      <w:lvlJc w:val="left"/>
      <w:lvlText w:val="●"/>
      <w:numFmt w:val="bullet"/>
      <w:start w:val="1"/>
    </w:lvl>
  </w:abstractNum>
  <w:abstractNum w:abstractNumId="5">
    <w:nsid w:val="4B588F54"/>
    <w:multiLevelType w:val="hybridMultilevel"/>
    <w:lvl w:ilvl="0">
      <w:lvlJc w:val="left"/>
      <w:lvlText w:val="●"/>
      <w:numFmt w:val="bullet"/>
      <w:start w:val="1"/>
    </w:lvl>
  </w:abstractNum>
  <w:abstractNum w:abstractNumId="6">
    <w:nsid w:val="542289EC"/>
    <w:multiLevelType w:val="hybridMultilevel"/>
    <w:lvl w:ilvl="0">
      <w:lvlJc w:val="left"/>
      <w:lvlText w:val="%1."/>
      <w:numFmt w:val="decimal"/>
      <w:start w:val="1"/>
    </w:lvl>
  </w:abstractNum>
  <w:abstractNum w:abstractNumId="7">
    <w:nsid w:val="6DE91B18"/>
    <w:multiLevelType w:val="hybridMultilevel"/>
    <w:lvl w:ilvl="0">
      <w:lvlJc w:val="left"/>
      <w:lvlText w:val="(%1)"/>
      <w:numFmt w:val="lowerRoman"/>
      <w:start w:val="2"/>
    </w:lvl>
  </w:abstractNum>
  <w:abstractNum w:abstractNumId="8">
    <w:nsid w:val="38437FDB"/>
    <w:multiLevelType w:val="hybridMultilevel"/>
    <w:lvl w:ilvl="0">
      <w:lvlJc w:val="left"/>
      <w:lvlText w:val="(%1)"/>
      <w:numFmt w:val="decimal"/>
      <w:start w:val="1"/>
    </w:lvl>
  </w:abstractNum>
  <w:abstractNum w:abstractNumId="9">
    <w:nsid w:val="7644A45C"/>
    <w:multiLevelType w:val="hybridMultilevel"/>
    <w:lvl w:ilvl="0">
      <w:lvlJc w:val="left"/>
      <w:lvlText w:val="(%1)"/>
      <w:numFmt w:val="decimal"/>
      <w:start w:val="1"/>
    </w:lvl>
  </w:abstractNum>
  <w:abstractNum w:abstractNumId="10">
    <w:nsid w:val="32FFF902"/>
    <w:multiLevelType w:val="hybridMultilevel"/>
    <w:lvl w:ilvl="0">
      <w:lvlJc w:val="left"/>
      <w:lvlText w:val="●"/>
      <w:numFmt w:val="bullet"/>
      <w:start w:val="1"/>
    </w:lvl>
  </w:abstractNum>
  <w:abstractNum w:abstractNumId="11">
    <w:nsid w:val="684A481A"/>
    <w:multiLevelType w:val="hybridMultilevel"/>
    <w:lvl w:ilvl="0">
      <w:lvlJc w:val="left"/>
      <w:lvlText w:val="●"/>
      <w:numFmt w:val="bullet"/>
      <w:start w:val="1"/>
    </w:lvl>
  </w:abstractNum>
  <w:abstractNum w:abstractNumId="12">
    <w:nsid w:val="579478FE"/>
    <w:multiLevelType w:val="hybridMultilevel"/>
    <w:lvl w:ilvl="0">
      <w:lvlJc w:val="left"/>
      <w:lvlText w:val="(%1)"/>
      <w:numFmt w:val="decimal"/>
      <w:start w:val="19"/>
    </w:lvl>
  </w:abstractNum>
  <w:abstractNum w:abstractNumId="13">
    <w:nsid w:val="749ABB43"/>
    <w:multiLevelType w:val="hybridMultilevel"/>
    <w:lvl w:ilvl="0">
      <w:lvlJc w:val="left"/>
      <w:lvlText w:val="(%1)"/>
      <w:numFmt w:val="decimal"/>
      <w:start w:val="1"/>
    </w:lvl>
  </w:abstractNum>
  <w:abstractNum w:abstractNumId="14">
    <w:nsid w:val="3DC240FB"/>
    <w:multiLevelType w:val="hybridMultilevel"/>
    <w:lvl w:ilvl="0">
      <w:lvlJc w:val="left"/>
      <w:lvlText w:val="●"/>
      <w:numFmt w:val="bullet"/>
      <w:start w:val="1"/>
    </w:lvl>
  </w:abstractNum>
  <w:abstractNum w:abstractNumId="15">
    <w:nsid w:val="1BA026FA"/>
    <w:multiLevelType w:val="hybridMultilevel"/>
    <w:lvl w:ilvl="0">
      <w:lvlJc w:val="left"/>
      <w:lvlText w:val="●"/>
      <w:numFmt w:val="bullet"/>
      <w:start w:val="1"/>
    </w:lvl>
  </w:abstractNum>
  <w:abstractNum w:abstractNumId="16">
    <w:nsid w:val="79A1DEAA"/>
    <w:multiLevelType w:val="hybridMultilevel"/>
    <w:lvl w:ilvl="0">
      <w:lvlJc w:val="left"/>
      <w:lvlText w:val="●"/>
      <w:numFmt w:val="bullet"/>
      <w:start w:val="1"/>
    </w:lvl>
  </w:abstractNum>
  <w:abstractNum w:abstractNumId="17">
    <w:nsid w:val="75C6C33A"/>
    <w:multiLevelType w:val="hybridMultilevel"/>
    <w:lvl w:ilvl="0">
      <w:lvlJc w:val="left"/>
      <w:lvlText w:val="●"/>
      <w:numFmt w:val="bullet"/>
      <w:start w:val="1"/>
    </w:lvl>
  </w:abstractNum>
  <w:abstractNum w:abstractNumId="18">
    <w:nsid w:val="12E685FB"/>
    <w:multiLevelType w:val="hybridMultilevel"/>
    <w:lvl w:ilvl="0">
      <w:lvlJc w:val="left"/>
      <w:lvlText w:val="●"/>
      <w:numFmt w:val="bullet"/>
      <w:start w:val="1"/>
    </w:lvl>
  </w:abstractNum>
  <w:abstractNum w:abstractNumId="19">
    <w:nsid w:val="70C6A529"/>
    <w:multiLevelType w:val="hybridMultilevel"/>
    <w:lvl w:ilvl="0">
      <w:lvlJc w:val="left"/>
      <w:lvlText w:val="●"/>
      <w:numFmt w:val="bullet"/>
      <w:start w:val="1"/>
    </w:lvl>
  </w:abstractNum>
  <w:abstractNum w:abstractNumId="20">
    <w:nsid w:val="520EEDD1"/>
    <w:multiLevelType w:val="hybridMultilevel"/>
    <w:lvl w:ilvl="0">
      <w:lvlJc w:val="left"/>
      <w:lvlText w:val="(%1)"/>
      <w:numFmt w:val="lowerRoman"/>
      <w:start w:val="3"/>
    </w:lvl>
  </w:abstractNum>
  <w:abstractNum w:abstractNumId="21">
    <w:nsid w:val="374A3FE6"/>
    <w:multiLevelType w:val="hybridMultilevel"/>
    <w:lvl w:ilvl="0">
      <w:lvlJc w:val="left"/>
      <w:lvlText w:val="●"/>
      <w:numFmt w:val="bullet"/>
      <w:start w:val="1"/>
    </w:lvl>
  </w:abstractNum>
  <w:abstractNum w:abstractNumId="22">
    <w:nsid w:val="4F4EF005"/>
    <w:multiLevelType w:val="hybridMultilevel"/>
    <w:lvl w:ilvl="0">
      <w:lvlJc w:val="left"/>
      <w:lvlText w:val="●"/>
      <w:numFmt w:val="bullet"/>
      <w:start w:val="1"/>
    </w:lvl>
  </w:abstractNum>
  <w:abstractNum w:abstractNumId="23">
    <w:nsid w:val="23F9C13C"/>
    <w:multiLevelType w:val="hybridMultilevel"/>
    <w:lvl w:ilvl="0">
      <w:lvlJc w:val="left"/>
      <w:lvlText w:val="●"/>
      <w:numFmt w:val="bullet"/>
      <w:start w:val="1"/>
    </w:lvl>
  </w:abstractNum>
  <w:abstractNum w:abstractNumId="24">
    <w:nsid w:val="649BB77C"/>
    <w:multiLevelType w:val="hybridMultilevel"/>
    <w:lvl w:ilvl="0">
      <w:lvlJc w:val="left"/>
      <w:lvlText w:val="(%1)"/>
      <w:numFmt w:val="lowerRoman"/>
      <w:start w:val="4"/>
    </w:lvl>
  </w:abstractNum>
  <w:abstractNum w:abstractNumId="25">
    <w:nsid w:val="275AC794"/>
    <w:multiLevelType w:val="hybridMultilevel"/>
    <w:lvl w:ilvl="0">
      <w:lvlJc w:val="left"/>
      <w:lvlText w:val="●"/>
      <w:numFmt w:val="bullet"/>
      <w:start w:val="1"/>
    </w:lvl>
  </w:abstractNum>
  <w:abstractNum w:abstractNumId="26">
    <w:nsid w:val="39386575"/>
    <w:multiLevelType w:val="hybridMultilevel"/>
    <w:lvl w:ilvl="0">
      <w:lvlJc w:val="left"/>
      <w:lvlText w:val="(%1)"/>
      <w:numFmt w:val="lowerRoman"/>
      <w:start w:val="1"/>
    </w:lvl>
    <w:lvl w:ilvl="1">
      <w:lvlJc w:val="left"/>
      <w:lvlText w:val="(%2)"/>
      <w:numFmt w:val="upperLetter"/>
      <w:start w:val="2"/>
    </w:lvl>
  </w:abstractNum>
  <w:abstractNum w:abstractNumId="27">
    <w:nsid w:val="1CF10FD8"/>
    <w:multiLevelType w:val="hybridMultilevel"/>
    <w:lvl w:ilvl="0">
      <w:lvlJc w:val="left"/>
      <w:lvlText w:val="(%1)"/>
      <w:numFmt w:val="decimal"/>
      <w:start w:val="1"/>
    </w:lvl>
  </w:abstractNum>
  <w:abstractNum w:abstractNumId="28">
    <w:nsid w:val="180115BE"/>
    <w:multiLevelType w:val="hybridMultilevel"/>
    <w:lvl w:ilvl="0">
      <w:lvlJc w:val="left"/>
      <w:lvlText w:val="(%1)"/>
      <w:numFmt w:val="decimal"/>
      <w:start w:val="3"/>
    </w:lvl>
  </w:abstractNum>
  <w:abstractNum w:abstractNumId="29">
    <w:nsid w:val="235BA861"/>
    <w:multiLevelType w:val="hybridMultilevel"/>
    <w:lvl w:ilvl="0">
      <w:lvlJc w:val="left"/>
      <w:lvlText w:val="(%1)"/>
      <w:numFmt w:val="decimal"/>
      <w:start w:val="1"/>
    </w:lvl>
  </w:abstractNum>
  <w:abstractNum w:abstractNumId="30">
    <w:nsid w:val="47398C89"/>
    <w:multiLevelType w:val="hybridMultilevel"/>
    <w:lvl w:ilvl="0">
      <w:lvlJc w:val="left"/>
      <w:lvlText w:val="(%1)"/>
      <w:numFmt w:val="decimal"/>
      <w:start w:val="1"/>
    </w:lvl>
  </w:abstractNum>
  <w:abstractNum w:abstractNumId="31">
    <w:nsid w:val="354FE9F9"/>
    <w:multiLevelType w:val="hybridMultilevel"/>
    <w:lvl w:ilvl="0">
      <w:lvlJc w:val="left"/>
      <w:lvlText w:val="(%1)"/>
      <w:numFmt w:val="decimal"/>
      <w:start w:val="2"/>
    </w:lvl>
  </w:abstractNum>
  <w:abstractNum w:abstractNumId="32">
    <w:nsid w:val="15B5AF5C"/>
    <w:multiLevelType w:val="hybridMultilevel"/>
    <w:lvl w:ilvl="0">
      <w:lvlJc w:val="left"/>
      <w:lvlText w:val="(%1)"/>
      <w:numFmt w:val="decimal"/>
      <w:start w:val="1"/>
    </w:lvl>
  </w:abstractNum>
  <w:abstractNum w:abstractNumId="33">
    <w:nsid w:val="741226BB"/>
    <w:multiLevelType w:val="hybridMultilevel"/>
    <w:lvl w:ilvl="0">
      <w:lvlJc w:val="left"/>
      <w:lvlText w:val="(%1)"/>
      <w:numFmt w:val="decimal"/>
      <w:start w:val="1"/>
    </w:lvl>
  </w:abstractNum>
  <w:abstractNum w:abstractNumId="34">
    <w:nsid w:val="D34B6A8"/>
    <w:multiLevelType w:val="hybridMultilevel"/>
    <w:lvl w:ilvl="0">
      <w:lvlJc w:val="left"/>
      <w:lvlText w:val="(%1)"/>
      <w:numFmt w:val="decimal"/>
      <w:start w:val="8"/>
    </w:lvl>
  </w:abstractNum>
  <w:abstractNum w:abstractNumId="35">
    <w:nsid w:val="10233C99"/>
    <w:multiLevelType w:val="hybridMultilevel"/>
    <w:lvl w:ilvl="0">
      <w:lvlJc w:val="left"/>
      <w:lvlText w:val="(%1)"/>
      <w:numFmt w:val="decimal"/>
      <w:start w:val="1"/>
    </w:lvl>
  </w:abstractNum>
  <w:abstractNum w:abstractNumId="36">
    <w:nsid w:val="3F6AB60F"/>
    <w:multiLevelType w:val="hybridMultilevel"/>
    <w:lvl w:ilvl="0">
      <w:lvlJc w:val="left"/>
      <w:lvlText w:val="(%1)"/>
      <w:numFmt w:val="decimal"/>
      <w:start w:val="3"/>
    </w:lvl>
  </w:abstractNum>
  <w:abstractNum w:abstractNumId="37">
    <w:nsid w:val="61574095"/>
    <w:multiLevelType w:val="hybridMultilevel"/>
    <w:lvl w:ilvl="0">
      <w:lvlJc w:val="left"/>
      <w:lvlText w:val="●"/>
      <w:numFmt w:val="bullet"/>
      <w:start w:val="1"/>
    </w:lvl>
  </w:abstractNum>
  <w:abstractNum w:abstractNumId="38">
    <w:nsid w:val="7E0C57B1"/>
    <w:multiLevelType w:val="hybridMultilevel"/>
    <w:lvl w:ilvl="0">
      <w:lvlJc w:val="left"/>
      <w:lvlText w:val="●"/>
      <w:numFmt w:val="bullet"/>
      <w:start w:val="1"/>
    </w:lvl>
  </w:abstractNum>
  <w:abstractNum w:abstractNumId="39">
    <w:nsid w:val="77AE35EB"/>
    <w:multiLevelType w:val="hybridMultilevel"/>
    <w:lvl w:ilvl="0">
      <w:lvlJc w:val="left"/>
      <w:lvlText w:val="●"/>
      <w:numFmt w:val="bullet"/>
      <w:start w:val="1"/>
    </w:lvl>
  </w:abstractNum>
  <w:abstractNum w:abstractNumId="40">
    <w:nsid w:val="579BE4F1"/>
    <w:multiLevelType w:val="hybridMultilevel"/>
    <w:lvl w:ilvl="0">
      <w:lvlJc w:val="left"/>
      <w:lvlText w:val="●"/>
      <w:numFmt w:val="bullet"/>
      <w:start w:val="1"/>
    </w:lvl>
    <w:lvl w:ilvl="1">
      <w:lvlJc w:val="left"/>
      <w:lvlText w:val="(%2)"/>
      <w:numFmt w:val="lowerRoman"/>
      <w:start w:val="2"/>
    </w:lvl>
  </w:abstractNum>
  <w:abstractNum w:abstractNumId="41">
    <w:nsid w:val="310C50B3"/>
    <w:multiLevelType w:val="hybridMultilevel"/>
    <w:lvl w:ilvl="0">
      <w:lvlJc w:val="left"/>
      <w:lvlText w:val="(%1)"/>
      <w:numFmt w:val="lowerRoman"/>
      <w:start w:val="1"/>
    </w:lvl>
    <w:lvl w:ilvl="1">
      <w:lvlJc w:val="left"/>
      <w:lvlText w:val="(%2)"/>
      <w:numFmt w:val="upperLetter"/>
      <w:start w:val="1"/>
    </w:lvl>
  </w:abstractNum>
  <w:abstractNum w:abstractNumId="42">
    <w:nsid w:val="5FF87E05"/>
    <w:multiLevelType w:val="hybridMultilevel"/>
    <w:lvl w:ilvl="0">
      <w:lvlJc w:val="left"/>
      <w:lvlText w:val="(%1)"/>
      <w:numFmt w:val="lowerRoman"/>
      <w:start w:val="4"/>
    </w:lvl>
  </w:abstractNum>
  <w:abstractNum w:abstractNumId="43">
    <w:nsid w:val="2F305DEF"/>
    <w:multiLevelType w:val="hybridMultilevel"/>
    <w:lvl w:ilvl="0">
      <w:lvlJc w:val="left"/>
      <w:lvlText w:val="(%1)"/>
      <w:numFmt w:val="decimal"/>
      <w:start w:val="1"/>
    </w:lvl>
  </w:abstractNum>
  <w:abstractNum w:abstractNumId="44">
    <w:nsid w:val="25A70BF7"/>
    <w:multiLevelType w:val="hybridMultilevel"/>
    <w:lvl w:ilvl="0">
      <w:lvlJc w:val="left"/>
      <w:lvlText w:val="%1."/>
      <w:numFmt w:val="decimal"/>
      <w:start w:val="1"/>
    </w:lvl>
  </w:abstractNum>
  <w:abstractNum w:abstractNumId="45">
    <w:nsid w:val="1DBABF00"/>
    <w:multiLevelType w:val="hybridMultilevel"/>
    <w:lvl w:ilvl="0">
      <w:lvlJc w:val="left"/>
      <w:lvlText w:val="(%1)"/>
      <w:numFmt w:val="lowerLetter"/>
      <w:start w:val="1"/>
    </w:lvl>
  </w:abstractNum>
  <w:abstractNum w:abstractNumId="46">
    <w:nsid w:val="4AD084E9"/>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47">
    <w:nsid w:val="1F48EAA1"/>
    <w:multiLevelType w:val="hybridMultilevel"/>
    <w:lvl w:ilvl="0">
      <w:lvlJc w:val="left"/>
      <w:lvlText w:val="(%1)"/>
      <w:numFmt w:val="decimal"/>
      <w:start w:val="2"/>
    </w:lvl>
    <w:lvl w:ilvl="1">
      <w:lvlJc w:val="left"/>
      <w:lvlText w:val="(%2)"/>
      <w:numFmt w:val="lowerLetter"/>
      <w:start w:val="14"/>
    </w:lvl>
    <w:lvl w:ilvl="2">
      <w:lvlJc w:val="left"/>
      <w:lvlText w:val="%3"/>
      <w:numFmt w:val="lowerRoman"/>
      <w:start w:val="1"/>
    </w:lvl>
  </w:abstractNum>
  <w:abstractNum w:abstractNumId="48">
    <w:nsid w:val="1381823A"/>
    <w:multiLevelType w:val="hybridMultilevel"/>
    <w:lvl w:ilvl="0">
      <w:lvlJc w:val="left"/>
      <w:lvlText w:val="%1"/>
      <w:numFmt w:val="decimal"/>
      <w:start w:val="1"/>
    </w:lvl>
    <w:lvl w:ilvl="1">
      <w:lvlJc w:val="left"/>
      <w:lvlText w:val="(%2)"/>
      <w:numFmt w:val="lowerLetter"/>
      <w:start w:val="16"/>
    </w:lvl>
  </w:abstractNum>
  <w:abstractNum w:abstractNumId="49">
    <w:nsid w:val="5DB70AE5"/>
    <w:multiLevelType w:val="hybridMultilevel"/>
    <w:lvl w:ilvl="0">
      <w:lvlJc w:val="left"/>
      <w:lvlText w:val="(%1)"/>
      <w:numFmt w:val="decimal"/>
      <w:start w:val="12"/>
    </w:lvl>
    <w:lvl w:ilvl="1">
      <w:lvlJc w:val="left"/>
      <w:lvlText w:val="(%2)"/>
      <w:numFmt w:val="lowerLetter"/>
      <w:start w:val="21"/>
    </w:lvl>
  </w:abstractNum>
  <w:abstractNum w:abstractNumId="50">
    <w:nsid w:val="100F8FCA"/>
    <w:multiLevelType w:val="hybridMultilevel"/>
    <w:lvl w:ilvl="0">
      <w:lvlJc w:val="left"/>
      <w:lvlText w:val="(%1)"/>
      <w:numFmt w:val="lowerLetter"/>
      <w:start w:val="24"/>
    </w:lvl>
  </w:abstractNum>
  <w:abstractNum w:abstractNumId="51">
    <w:nsid w:val="6590700B"/>
    <w:multiLevelType w:val="hybridMultilevel"/>
    <w:lvl w:ilvl="0">
      <w:lvlJc w:val="left"/>
      <w:lvlText w:val="(%1)"/>
      <w:numFmt w:val="lowerLetter"/>
      <w:start w:val="27"/>
    </w:lvl>
  </w:abstractNum>
  <w:abstractNum w:abstractNumId="52">
    <w:nsid w:val="15014ACB"/>
    <w:multiLevelType w:val="hybridMultilevel"/>
    <w:lvl w:ilvl="0">
      <w:lvlJc w:val="left"/>
      <w:lvlText w:val="(%1)"/>
      <w:numFmt w:val="lowerLetter"/>
      <w:start w:val="36"/>
    </w:lvl>
  </w:abstractNum>
  <w:abstractNum w:abstractNumId="53">
    <w:nsid w:val="5F5E7FD0"/>
    <w:multiLevelType w:val="hybridMultilevel"/>
    <w:lvl w:ilvl="0">
      <w:lvlJc w:val="left"/>
      <w:lvlText w:val="(%1)"/>
      <w:numFmt w:val="lowerLetter"/>
      <w:start w:val="44"/>
    </w:lvl>
    <w:lvl w:ilvl="1">
      <w:lvlJc w:val="left"/>
      <w:lvlText w:val="(%2)"/>
      <w:numFmt w:val="lowerRoman"/>
      <w:start w:val="1"/>
    </w:lvl>
  </w:abstractNum>
  <w:abstractNum w:abstractNumId="54">
    <w:nsid w:val="98A3148"/>
    <w:multiLevelType w:val="hybridMultilevel"/>
    <w:lvl w:ilvl="0">
      <w:lvlJc w:val="left"/>
      <w:lvlText w:val="%1."/>
      <w:numFmt w:val="decimal"/>
      <w:start w:val="3"/>
    </w:lvl>
  </w:abstractNum>
  <w:abstractNum w:abstractNumId="55">
    <w:nsid w:val="799D0247"/>
    <w:multiLevelType w:val="hybridMultilevel"/>
    <w:lvl w:ilvl="0">
      <w:lvlJc w:val="left"/>
      <w:lvlText w:val="(%1)"/>
      <w:numFmt w:val="lowerLetter"/>
      <w:start w:val="1"/>
    </w:lvl>
    <w:lvl w:ilvl="1">
      <w:lvlJc w:val="left"/>
      <w:lvlText w:val="(%2)"/>
      <w:numFmt w:val="lowerLetter"/>
      <w:start w:val="9"/>
    </w:lvl>
  </w:abstractNum>
  <w:abstractNum w:abstractNumId="56">
    <w:nsid w:val="6B94764"/>
    <w:multiLevelType w:val="hybridMultilevel"/>
    <w:lvl w:ilvl="0">
      <w:lvlJc w:val="left"/>
      <w:lvlText w:val="(%1)"/>
      <w:numFmt w:val="lowerRoman"/>
      <w:start w:val="2"/>
    </w:lvl>
  </w:abstractNum>
  <w:abstractNum w:abstractNumId="57">
    <w:nsid w:val="42C296BD"/>
    <w:multiLevelType w:val="hybridMultilevel"/>
    <w:lvl w:ilvl="0">
      <w:lvlJc w:val="left"/>
      <w:lvlText w:val="(%1)"/>
      <w:numFmt w:val="lowerLetter"/>
      <w:start w:val="3"/>
    </w:lvl>
  </w:abstractNum>
  <w:abstractNum w:abstractNumId="58">
    <w:nsid w:val="168E121F"/>
    <w:multiLevelType w:val="hybridMultilevel"/>
    <w:lvl w:ilvl="0">
      <w:lvlJc w:val="left"/>
      <w:lvlText w:val="(%1)"/>
      <w:numFmt w:val="lowerLetter"/>
      <w:start w:val="4"/>
    </w:lvl>
  </w:abstractNum>
  <w:abstractNum w:abstractNumId="59">
    <w:nsid w:val="1EBA5D23"/>
    <w:multiLevelType w:val="hybridMultilevel"/>
    <w:lvl w:ilvl="0">
      <w:lvlJc w:val="left"/>
      <w:lvlText w:val="(%1)"/>
      <w:numFmt w:val="lowerLetter"/>
      <w:start w:val="1"/>
    </w:lvl>
  </w:abstractNum>
  <w:abstractNum w:abstractNumId="60">
    <w:nsid w:val="661E3F1E"/>
    <w:multiLevelType w:val="hybridMultilevel"/>
    <w:lvl w:ilvl="0">
      <w:lvlJc w:val="left"/>
      <w:lvlText w:val="(%1)"/>
      <w:numFmt w:val="lowerLetter"/>
      <w:start w:val="6"/>
    </w:lvl>
  </w:abstractNum>
  <w:abstractNum w:abstractNumId="61">
    <w:nsid w:val="5DC79EA8"/>
    <w:multiLevelType w:val="hybridMultilevel"/>
    <w:lvl w:ilvl="0">
      <w:lvlJc w:val="left"/>
      <w:lvlText w:val="%1."/>
      <w:numFmt w:val="decimal"/>
      <w:start w:val="6"/>
    </w:lvl>
  </w:abstractNum>
  <w:abstractNum w:abstractNumId="62">
    <w:nsid w:val="540A471C"/>
    <w:multiLevelType w:val="hybridMultilevel"/>
    <w:lvl w:ilvl="0">
      <w:lvlJc w:val="left"/>
      <w:lvlText w:val="(%1)"/>
      <w:numFmt w:val="lowerLetter"/>
      <w:start w:val="1"/>
    </w:lvl>
  </w:abstractNum>
  <w:abstractNum w:abstractNumId="63">
    <w:nsid w:val="7BD3EE7B"/>
    <w:multiLevelType w:val="hybridMultilevel"/>
    <w:lvl w:ilvl="0">
      <w:lvlJc w:val="left"/>
      <w:lvlText w:val="(%1)"/>
      <w:numFmt w:val="lowerLetter"/>
      <w:start w:val="2"/>
    </w:lvl>
    <w:lvl w:ilvl="1">
      <w:lvlJc w:val="left"/>
      <w:lvlText w:val="(%2)"/>
      <w:numFmt w:val="lowerRoman"/>
      <w:start w:val="1"/>
    </w:lvl>
  </w:abstractNum>
  <w:abstractNum w:abstractNumId="64">
    <w:nsid w:val="51D9C564"/>
    <w:multiLevelType w:val="hybridMultilevel"/>
    <w:lvl w:ilvl="0">
      <w:lvlJc w:val="left"/>
      <w:lvlText w:val="(%1)"/>
      <w:numFmt w:val="lowerLetter"/>
      <w:start w:val="5"/>
    </w:lvl>
  </w:abstractNum>
  <w:abstractNum w:abstractNumId="65">
    <w:nsid w:val="613EFDC5"/>
    <w:multiLevelType w:val="hybridMultilevel"/>
    <w:lvl w:ilvl="0">
      <w:lvlJc w:val="left"/>
      <w:lvlText w:val="(%1)"/>
      <w:numFmt w:val="lowerLetter"/>
      <w:start w:val="1"/>
    </w:lvl>
  </w:abstractNum>
  <w:abstractNum w:abstractNumId="66">
    <w:nsid w:val="BF72B14"/>
    <w:multiLevelType w:val="hybridMultilevel"/>
    <w:lvl w:ilvl="0">
      <w:lvlJc w:val="left"/>
      <w:lvlText w:val="(%1)"/>
      <w:numFmt w:val="lowerLetter"/>
      <w:start w:val="4"/>
    </w:lvl>
    <w:lvl w:ilvl="1">
      <w:lvlJc w:val="left"/>
      <w:lvlText w:val="(%2)"/>
      <w:numFmt w:val="lowerRoman"/>
      <w:start w:val="1"/>
    </w:lvl>
  </w:abstractNum>
  <w:abstractNum w:abstractNumId="67">
    <w:nsid w:val="11447B73"/>
    <w:multiLevelType w:val="hybridMultilevel"/>
    <w:lvl w:ilvl="0">
      <w:lvlJc w:val="left"/>
      <w:lvlText w:val="(%1)"/>
      <w:numFmt w:val="lowerLetter"/>
      <w:start w:val="7"/>
    </w:lvl>
    <w:lvl w:ilvl="1">
      <w:lvlJc w:val="left"/>
      <w:lvlText w:val="(%2)"/>
      <w:numFmt w:val="lowerRoman"/>
      <w:start w:val="1"/>
    </w:lvl>
  </w:abstractNum>
  <w:abstractNum w:abstractNumId="68">
    <w:nsid w:val="42963E5A"/>
    <w:multiLevelType w:val="hybridMultilevel"/>
    <w:lvl w:ilvl="0">
      <w:lvlJc w:val="left"/>
      <w:lvlText w:val="(%1)"/>
      <w:numFmt w:val="lowerLetter"/>
      <w:start w:val="1"/>
    </w:lvl>
  </w:abstractNum>
  <w:abstractNum w:abstractNumId="69">
    <w:nsid w:val="A0382C5"/>
    <w:multiLevelType w:val="hybridMultilevel"/>
    <w:lvl w:ilvl="0">
      <w:lvlJc w:val="left"/>
      <w:lvlText w:val="(%1)"/>
      <w:numFmt w:val="lowerLetter"/>
      <w:start w:val="3"/>
    </w:lvl>
  </w:abstractNum>
  <w:abstractNum w:abstractNumId="70">
    <w:nsid w:val="8F2B15E"/>
    <w:multiLevelType w:val="hybridMultilevel"/>
    <w:lvl w:ilvl="0">
      <w:lvlJc w:val="left"/>
      <w:lvlText w:val="%1."/>
      <w:numFmt w:val="decimal"/>
      <w:start w:val="10"/>
    </w:lvl>
    <w:lvl w:ilvl="1">
      <w:lvlJc w:val="left"/>
      <w:lvlText w:val="(%2)"/>
      <w:numFmt w:val="lowerRoman"/>
      <w:start w:val="1"/>
    </w:lvl>
  </w:abstractNum>
  <w:abstractNum w:abstractNumId="71">
    <w:nsid w:val="1A32234B"/>
    <w:multiLevelType w:val="hybridMultilevel"/>
    <w:lvl w:ilvl="0">
      <w:lvlJc w:val="left"/>
      <w:lvlText w:val="(%1)"/>
      <w:numFmt w:val="upperLetter"/>
      <w:start w:val="1"/>
    </w:lvl>
    <w:lvl w:ilvl="1">
      <w:lvlJc w:val="left"/>
      <w:lvlText w:val="%2."/>
      <w:numFmt w:val="decimal"/>
      <w:start w:val="11"/>
    </w:lvl>
  </w:abstractNum>
  <w:abstractNum w:abstractNumId="72">
    <w:nsid w:val="3B0FD379"/>
    <w:multiLevelType w:val="hybridMultilevel"/>
    <w:lvl w:ilvl="0">
      <w:lvlJc w:val="left"/>
      <w:lvlText w:val="%1"/>
      <w:numFmt w:val="lowerLetter"/>
      <w:start w:val="1"/>
    </w:lvl>
    <w:lvl w:ilvl="1">
      <w:lvlJc w:val="left"/>
      <w:lvlText w:val="(%2)"/>
      <w:numFmt w:val="lowerLetter"/>
      <w:start w:val="1"/>
    </w:lvl>
  </w:abstractNum>
  <w:abstractNum w:abstractNumId="73">
    <w:nsid w:val="68EB2F63"/>
    <w:multiLevelType w:val="hybridMultilevel"/>
    <w:lvl w:ilvl="0">
      <w:lvlJc w:val="left"/>
      <w:lvlText w:val="(%1)"/>
      <w:numFmt w:val="lowerLetter"/>
      <w:start w:val="9"/>
    </w:lvl>
    <w:lvl w:ilvl="1">
      <w:lvlJc w:val="left"/>
      <w:lvlText w:val="(%2)"/>
      <w:numFmt w:val="lowerLetter"/>
      <w:start w:val="2"/>
    </w:lvl>
  </w:abstractNum>
  <w:abstractNum w:abstractNumId="74">
    <w:nsid w:val="4962813B"/>
    <w:multiLevelType w:val="hybridMultilevel"/>
    <w:lvl w:ilvl="0">
      <w:lvlJc w:val="left"/>
      <w:lvlText w:val="(%1)"/>
      <w:numFmt w:val="lowerLetter"/>
      <w:start w:val="1"/>
    </w:lvl>
  </w:abstractNum>
  <w:abstractNum w:abstractNumId="75">
    <w:nsid w:val="60B6DF70"/>
    <w:multiLevelType w:val="hybridMultilevel"/>
    <w:lvl w:ilvl="0">
      <w:lvlJc w:val="left"/>
      <w:lvlText w:val="(%1)"/>
      <w:numFmt w:val="lowerLetter"/>
      <w:start w:val="2"/>
    </w:lvl>
    <w:lvl w:ilvl="1">
      <w:lvlJc w:val="left"/>
      <w:lvlText w:val="(%2)"/>
      <w:numFmt w:val="lowerRoman"/>
      <w:start w:val="1"/>
    </w:lvl>
  </w:abstractNum>
  <w:abstractNum w:abstractNumId="76">
    <w:nsid w:val="6A5EE64"/>
    <w:multiLevelType w:val="hybridMultilevel"/>
    <w:lvl w:ilvl="0">
      <w:lvlJc w:val="left"/>
      <w:lvlText w:val="%1"/>
      <w:numFmt w:val="lowerLetter"/>
      <w:start w:val="1"/>
    </w:lvl>
    <w:lvl w:ilvl="1">
      <w:lvlJc w:val="left"/>
      <w:lvlText w:val="(%2)"/>
      <w:numFmt w:val="lowerLetter"/>
      <w:start w:val="61"/>
    </w:lvl>
  </w:abstractNum>
  <w:abstractNum w:abstractNumId="77">
    <w:nsid w:val="14330624"/>
    <w:multiLevelType w:val="hybridMultilevel"/>
    <w:lvl w:ilvl="0">
      <w:lvlJc w:val="left"/>
      <w:lvlText w:val="(%1)"/>
      <w:numFmt w:val="lowerLetter"/>
      <w:start w:val="3"/>
    </w:lvl>
    <w:lvl w:ilvl="1">
      <w:lvlJc w:val="left"/>
      <w:lvlText w:val="(%2)"/>
      <w:numFmt w:val="lowerLetter"/>
      <w:start w:val="9"/>
    </w:lvl>
  </w:abstractNum>
  <w:abstractNum w:abstractNumId="78">
    <w:nsid w:val="7FFFCA11"/>
    <w:multiLevelType w:val="hybridMultilevel"/>
    <w:lvl w:ilvl="0">
      <w:lvlJc w:val="left"/>
      <w:lvlText w:val="(%1)"/>
      <w:numFmt w:val="lowerRoman"/>
      <w:start w:val="2"/>
    </w:lvl>
  </w:abstractNum>
  <w:abstractNum w:abstractNumId="79">
    <w:nsid w:val="1A27709E"/>
    <w:multiLevelType w:val="hybridMultilevel"/>
    <w:lvl w:ilvl="0">
      <w:lvlJc w:val="left"/>
      <w:lvlText w:val="%1"/>
      <w:numFmt w:val="lowerLetter"/>
      <w:start w:val="1"/>
    </w:lvl>
    <w:lvl w:ilvl="1">
      <w:lvlJc w:val="left"/>
      <w:lvlText w:val="(%2)"/>
      <w:numFmt w:val="lowerLetter"/>
      <w:start w:val="61"/>
    </w:lvl>
  </w:abstractNum>
  <w:abstractNum w:abstractNumId="80">
    <w:nsid w:val="71EA1109"/>
    <w:multiLevelType w:val="hybridMultilevel"/>
    <w:lvl w:ilvl="0">
      <w:lvlJc w:val="left"/>
      <w:lvlText w:val="(%1)"/>
      <w:numFmt w:val="lowerLetter"/>
      <w:start w:val="4"/>
    </w:lvl>
    <w:lvl w:ilvl="1">
      <w:lvlJc w:val="left"/>
      <w:lvlText w:val="%2"/>
      <w:numFmt w:val="lowerLetter"/>
      <w:start w:val="1"/>
    </w:lvl>
  </w:abstractNum>
  <w:abstractNum w:abstractNumId="81">
    <w:nsid w:val="100F59DC"/>
    <w:multiLevelType w:val="hybridMultilevel"/>
    <w:lvl w:ilvl="0">
      <w:lvlJc w:val="left"/>
      <w:lvlText w:val="(%1)"/>
      <w:numFmt w:val="lowerLetter"/>
      <w:start w:val="8"/>
    </w:lvl>
    <w:lvl w:ilvl="1">
      <w:lvlJc w:val="left"/>
      <w:lvlText w:val="(%2)"/>
      <w:numFmt w:val="lowerRoman"/>
      <w:start w:val="1"/>
    </w:lvl>
  </w:abstractNum>
  <w:abstractNum w:abstractNumId="82">
    <w:nsid w:val="7FB7E0AA"/>
    <w:multiLevelType w:val="hybridMultilevel"/>
    <w:lvl w:ilvl="0">
      <w:lvlJc w:val="left"/>
      <w:lvlText w:val="(%1)"/>
      <w:numFmt w:val="lowerLetter"/>
      <w:start w:val="11"/>
    </w:lvl>
    <w:lvl w:ilvl="1">
      <w:lvlJc w:val="left"/>
      <w:lvlText w:val="(%2)"/>
      <w:numFmt w:val="lowerLetter"/>
      <w:start w:val="9"/>
    </w:lvl>
  </w:abstractNum>
  <w:abstractNum w:abstractNumId="83">
    <w:nsid w:val="6EB5BD4"/>
    <w:multiLevelType w:val="hybridMultilevel"/>
    <w:lvl w:ilvl="0">
      <w:lvlJc w:val="left"/>
      <w:lvlText w:val="%1"/>
      <w:numFmt w:val="lowerLetter"/>
      <w:start w:val="1"/>
    </w:lvl>
    <w:lvl w:ilvl="1">
      <w:lvlJc w:val="left"/>
      <w:lvlText w:val="(%2)"/>
      <w:numFmt w:val="lowerRoman"/>
      <w:start w:val="2"/>
    </w:lvl>
  </w:abstractNum>
  <w:abstractNum w:abstractNumId="84">
    <w:nsid w:val="6F6DD9AC"/>
    <w:multiLevelType w:val="hybridMultilevel"/>
    <w:lvl w:ilvl="0">
      <w:lvlJc w:val="left"/>
      <w:lvlText w:val="(%1)"/>
      <w:numFmt w:val="lowerLetter"/>
      <w:start w:val="20"/>
    </w:lvl>
    <w:lvl w:ilvl="1">
      <w:lvlJc w:val="left"/>
      <w:lvlText w:val="%2"/>
      <w:numFmt w:val="lowerRoman"/>
      <w:start w:val="1"/>
    </w:lvl>
  </w:abstractNum>
  <w:abstractNum w:abstractNumId="85">
    <w:nsid w:val="94211F2"/>
    <w:multiLevelType w:val="hybridMultilevel"/>
    <w:lvl w:ilvl="0">
      <w:lvlJc w:val="left"/>
      <w:lvlText w:val="(%1)"/>
      <w:numFmt w:val="lowerLetter"/>
      <w:start w:val="2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2025-04-11T12:36:02Z</dcterms:created>
  <dcterms:modified xsi:type="dcterms:W3CDTF">2025-04-11T12:36:02Z</dcterms:modified>
</cp:coreProperties>
</file>